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52"/>
          <w:szCs w:val="52"/>
        </w:rPr>
      </w:pPr>
    </w:p>
    <w:p>
      <w:pPr>
        <w:rPr>
          <w:b/>
          <w:bCs/>
          <w:sz w:val="52"/>
          <w:szCs w:val="52"/>
        </w:rPr>
      </w:pPr>
    </w:p>
    <w:p>
      <w:pPr>
        <w:rPr>
          <w:b/>
          <w:bCs/>
          <w:sz w:val="52"/>
          <w:szCs w:val="52"/>
        </w:rPr>
      </w:pPr>
    </w:p>
    <w:p>
      <w:pPr>
        <w:jc w:val="center"/>
        <w:rPr>
          <w:rFonts w:asciiTheme="minorEastAsia" w:hAnsiTheme="minorEastAsia" w:eastAsiaTheme="minorEastAsia" w:cstheme="minorEastAsia"/>
          <w:b/>
          <w:bCs/>
          <w:sz w:val="52"/>
          <w:szCs w:val="52"/>
        </w:rPr>
      </w:pPr>
      <w:r>
        <w:rPr>
          <w:rFonts w:hint="eastAsia" w:asciiTheme="minorEastAsia" w:hAnsiTheme="minorEastAsia" w:eastAsiaTheme="minorEastAsia" w:cstheme="minorEastAsia"/>
          <w:b/>
          <w:bCs/>
          <w:sz w:val="52"/>
          <w:szCs w:val="52"/>
        </w:rPr>
        <w:t>北京市重点站区管理委员会</w:t>
      </w:r>
    </w:p>
    <w:p>
      <w:pPr>
        <w:jc w:val="center"/>
        <w:rPr>
          <w:rFonts w:asciiTheme="minorEastAsia" w:hAnsiTheme="minorEastAsia" w:eastAsiaTheme="minorEastAsia" w:cstheme="minorEastAsia"/>
          <w:b/>
          <w:bCs/>
          <w:sz w:val="52"/>
        </w:rPr>
      </w:pPr>
      <w:r>
        <w:rPr>
          <w:rFonts w:hint="eastAsia" w:asciiTheme="minorEastAsia" w:hAnsiTheme="minorEastAsia" w:eastAsiaTheme="minorEastAsia" w:cstheme="minorEastAsia"/>
          <w:b/>
          <w:bCs/>
          <w:sz w:val="52"/>
          <w:szCs w:val="52"/>
        </w:rPr>
        <w:t>部门整体绩效评价报告</w:t>
      </w:r>
    </w:p>
    <w:p>
      <w:pPr>
        <w:jc w:val="center"/>
        <w:rPr>
          <w:rFonts w:eastAsia="黑体"/>
          <w:sz w:val="30"/>
        </w:rPr>
      </w:pPr>
    </w:p>
    <w:p>
      <w:pPr>
        <w:rPr>
          <w:rFonts w:eastAsia="黑体"/>
          <w:sz w:val="30"/>
        </w:rPr>
      </w:pPr>
    </w:p>
    <w:p>
      <w:pPr>
        <w:jc w:val="center"/>
        <w:rPr>
          <w:rFonts w:eastAsia="黑体"/>
          <w:sz w:val="30"/>
        </w:rPr>
      </w:pPr>
    </w:p>
    <w:p>
      <w:pPr>
        <w:jc w:val="center"/>
        <w:rPr>
          <w:rFonts w:eastAsia="黑体"/>
          <w:sz w:val="30"/>
        </w:rPr>
      </w:pPr>
    </w:p>
    <w:p>
      <w:pPr>
        <w:rPr>
          <w:rFonts w:eastAsia="黑体"/>
          <w:sz w:val="30"/>
        </w:rPr>
      </w:pPr>
    </w:p>
    <w:p>
      <w:pPr>
        <w:jc w:val="center"/>
        <w:rPr>
          <w:rFonts w:eastAsia="黑体"/>
          <w:sz w:val="30"/>
        </w:rPr>
      </w:pPr>
    </w:p>
    <w:p>
      <w:pPr>
        <w:jc w:val="center"/>
        <w:rPr>
          <w:rFonts w:eastAsia="黑体"/>
          <w:sz w:val="30"/>
        </w:rPr>
      </w:pPr>
    </w:p>
    <w:p>
      <w:pPr>
        <w:ind w:left="210" w:leftChars="100" w:firstLine="640" w:firstLineChars="200"/>
        <w:rPr>
          <w:rFonts w:ascii="宋体" w:hAnsi="宋体"/>
          <w:sz w:val="32"/>
          <w:szCs w:val="32"/>
        </w:rPr>
      </w:pPr>
      <w:r>
        <w:rPr>
          <w:rFonts w:hint="eastAsia" w:ascii="宋体" w:hAnsi="宋体"/>
          <w:sz w:val="32"/>
          <w:szCs w:val="32"/>
        </w:rPr>
        <w:t>主管部门</w:t>
      </w:r>
      <w:r>
        <w:rPr>
          <w:rFonts w:hint="eastAsia" w:ascii="宋体" w:hAnsi="宋体"/>
          <w:sz w:val="32"/>
          <w:szCs w:val="32"/>
          <w:u w:val="single"/>
        </w:rPr>
        <w:t xml:space="preserve">      北京市重点站区管理委员会      </w:t>
      </w:r>
    </w:p>
    <w:p>
      <w:pPr>
        <w:ind w:left="210" w:leftChars="100" w:firstLine="640" w:firstLineChars="200"/>
        <w:rPr>
          <w:rFonts w:ascii="宋体" w:hAnsi="宋体"/>
          <w:sz w:val="32"/>
          <w:szCs w:val="32"/>
        </w:rPr>
      </w:pPr>
      <w:r>
        <w:rPr>
          <w:rFonts w:hint="eastAsia" w:ascii="宋体" w:hAnsi="宋体"/>
          <w:sz w:val="32"/>
          <w:szCs w:val="32"/>
        </w:rPr>
        <w:t>项目单位</w:t>
      </w:r>
      <w:r>
        <w:rPr>
          <w:rFonts w:hint="eastAsia" w:ascii="宋体" w:hAnsi="宋体"/>
          <w:sz w:val="32"/>
          <w:szCs w:val="32"/>
          <w:u w:val="single"/>
        </w:rPr>
        <w:t xml:space="preserve">      北京市重点站区管理委员会      </w:t>
      </w:r>
    </w:p>
    <w:p>
      <w:pPr>
        <w:spacing w:line="100" w:lineRule="atLeast"/>
        <w:ind w:left="210" w:leftChars="100" w:firstLine="640" w:firstLineChars="200"/>
        <w:rPr>
          <w:rFonts w:ascii="宋体" w:hAnsi="宋体"/>
          <w:sz w:val="32"/>
          <w:szCs w:val="32"/>
        </w:rPr>
      </w:pPr>
      <w:r>
        <w:rPr>
          <w:rFonts w:hint="eastAsia" w:ascii="宋体" w:hAnsi="宋体"/>
          <w:sz w:val="32"/>
          <w:szCs w:val="32"/>
        </w:rPr>
        <w:t>参与评价</w:t>
      </w:r>
    </w:p>
    <w:p>
      <w:pPr>
        <w:spacing w:line="100" w:lineRule="atLeast"/>
        <w:ind w:left="210" w:leftChars="100" w:firstLine="640" w:firstLineChars="200"/>
        <w:rPr>
          <w:rFonts w:eastAsia="黑体"/>
          <w:sz w:val="30"/>
          <w:u w:val="single"/>
        </w:rPr>
      </w:pPr>
      <w:r>
        <w:rPr>
          <w:rFonts w:hint="eastAsia" w:ascii="宋体" w:hAnsi="宋体"/>
          <w:sz w:val="32"/>
          <w:szCs w:val="32"/>
        </w:rPr>
        <w:t>中介机构</w:t>
      </w:r>
      <w:r>
        <w:rPr>
          <w:rFonts w:hint="eastAsia" w:ascii="宋体" w:hAnsi="宋体"/>
          <w:sz w:val="32"/>
          <w:szCs w:val="32"/>
          <w:u w:val="single"/>
        </w:rPr>
        <w:t xml:space="preserve">       中逸会计师事务所有限公司      </w:t>
      </w:r>
    </w:p>
    <w:p>
      <w:pPr>
        <w:rPr>
          <w:rFonts w:eastAsia="黑体"/>
          <w:sz w:val="36"/>
          <w:szCs w:val="36"/>
        </w:rPr>
      </w:pPr>
    </w:p>
    <w:p>
      <w:pPr>
        <w:rPr>
          <w:rFonts w:eastAsia="黑体"/>
          <w:sz w:val="36"/>
          <w:szCs w:val="36"/>
        </w:rPr>
      </w:pPr>
    </w:p>
    <w:p>
      <w:pPr>
        <w:jc w:val="center"/>
        <w:rPr>
          <w:rFonts w:ascii="黑体" w:eastAsia="黑体"/>
          <w:b/>
          <w:sz w:val="32"/>
          <w:szCs w:val="32"/>
        </w:rPr>
      </w:pPr>
      <w:r>
        <w:rPr>
          <w:rFonts w:hint="eastAsia" w:ascii="黑体" w:eastAsia="黑体"/>
          <w:sz w:val="36"/>
          <w:szCs w:val="36"/>
        </w:rPr>
        <w:t>北京市重点站区管理委员会</w:t>
      </w:r>
    </w:p>
    <w:p>
      <w:pPr>
        <w:jc w:val="center"/>
        <w:rPr>
          <w:rFonts w:ascii="黑体" w:eastAsia="黑体"/>
          <w:sz w:val="36"/>
          <w:szCs w:val="36"/>
        </w:rPr>
      </w:pPr>
      <w:r>
        <w:rPr>
          <w:rFonts w:hint="eastAsia" w:ascii="黑体" w:eastAsia="黑体"/>
          <w:sz w:val="36"/>
          <w:szCs w:val="36"/>
        </w:rPr>
        <w:t>二〇二</w:t>
      </w:r>
      <w:r>
        <w:rPr>
          <w:rFonts w:hint="eastAsia" w:ascii="黑体" w:eastAsia="黑体"/>
          <w:sz w:val="36"/>
          <w:szCs w:val="36"/>
          <w:lang w:val="en-US" w:eastAsia="zh-CN"/>
        </w:rPr>
        <w:t>四</w:t>
      </w:r>
      <w:r>
        <w:rPr>
          <w:rFonts w:hint="eastAsia" w:ascii="黑体" w:eastAsia="黑体"/>
          <w:sz w:val="36"/>
          <w:szCs w:val="36"/>
        </w:rPr>
        <w:t>年五月</w:t>
      </w:r>
    </w:p>
    <w:p>
      <w:pPr>
        <w:jc w:val="center"/>
        <w:rPr>
          <w:rFonts w:ascii="黑体" w:eastAsia="黑体"/>
          <w:sz w:val="36"/>
          <w:szCs w:val="36"/>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p>
    <w:sdt>
      <w:sdtPr>
        <w:rPr>
          <w:rFonts w:ascii="宋体" w:hAnsi="宋体"/>
        </w:rPr>
        <w:id w:val="147453448"/>
        <w:docPartObj>
          <w:docPartGallery w:val="Table of Contents"/>
          <w:docPartUnique/>
        </w:docPartObj>
      </w:sdtPr>
      <w:sdtEndPr>
        <w:rPr>
          <w:rFonts w:ascii="宋体" w:hAnsi="宋体"/>
        </w:rPr>
      </w:sdtEndPr>
      <w:sdtContent>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目录</w:t>
          </w:r>
        </w:p>
        <w:p>
          <w:pPr>
            <w:pStyle w:val="6"/>
            <w:tabs>
              <w:tab w:val="right" w:leader="dot" w:pos="8306"/>
            </w:tabs>
            <w:spacing w:line="480" w:lineRule="auto"/>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\h \u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_Toc17717 </w:instrText>
          </w:r>
          <w:r>
            <w:rPr>
              <w:rFonts w:hint="eastAsia" w:ascii="仿宋_GB2312" w:hAnsi="仿宋_GB2312" w:eastAsia="仿宋_GB2312" w:cs="仿宋_GB2312"/>
              <w:szCs w:val="32"/>
            </w:rPr>
            <w:fldChar w:fldCharType="separate"/>
          </w:r>
          <w:r>
            <w:rPr>
              <w:rFonts w:hint="eastAsia" w:ascii="黑体" w:hAnsi="黑体" w:eastAsia="黑体" w:cs="宋体"/>
              <w:kern w:val="0"/>
              <w:szCs w:val="32"/>
            </w:rPr>
            <w:t>一、部门</w:t>
          </w:r>
          <w:r>
            <w:rPr>
              <w:rFonts w:hint="eastAsia" w:ascii="宋体" w:hAnsi="宋体" w:eastAsia="宋体" w:cs="宋体"/>
              <w:kern w:val="0"/>
              <w:szCs w:val="32"/>
            </w:rPr>
            <w:t>概况</w:t>
          </w:r>
          <w:r>
            <w:tab/>
          </w:r>
          <w:r>
            <w:fldChar w:fldCharType="begin"/>
          </w:r>
          <w:r>
            <w:instrText xml:space="preserve"> PAGEREF _Toc17717 \h </w:instrText>
          </w:r>
          <w:r>
            <w:fldChar w:fldCharType="separate"/>
          </w:r>
          <w:r>
            <w:t>1</w:t>
          </w:r>
          <w:r>
            <w:fldChar w:fldCharType="end"/>
          </w:r>
          <w:r>
            <w:rPr>
              <w:rFonts w:hint="eastAsia" w:ascii="仿宋_GB2312" w:hAnsi="仿宋_GB2312" w:eastAsia="仿宋_GB2312" w:cs="仿宋_GB2312"/>
              <w:szCs w:val="32"/>
            </w:rPr>
            <w:fldChar w:fldCharType="end"/>
          </w:r>
        </w:p>
        <w:p>
          <w:pPr>
            <w:pStyle w:val="7"/>
            <w:tabs>
              <w:tab w:val="right" w:leader="dot" w:pos="8306"/>
            </w:tabs>
            <w:spacing w:line="480" w:lineRule="auto"/>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_Toc15081 </w:instrText>
          </w:r>
          <w:r>
            <w:rPr>
              <w:rFonts w:hint="eastAsia" w:ascii="仿宋_GB2312" w:hAnsi="仿宋_GB2312" w:eastAsia="仿宋_GB2312" w:cs="仿宋_GB2312"/>
              <w:szCs w:val="32"/>
            </w:rPr>
            <w:fldChar w:fldCharType="separate"/>
          </w:r>
          <w:r>
            <w:rPr>
              <w:rFonts w:hint="eastAsia" w:ascii="楷体_GB2312" w:eastAsia="楷体_GB2312"/>
              <w:szCs w:val="32"/>
            </w:rPr>
            <w:t>（一）机构设置</w:t>
          </w:r>
          <w:r>
            <w:rPr>
              <w:rFonts w:hint="eastAsia" w:ascii="宋体" w:hAnsi="宋体" w:eastAsia="宋体" w:cs="宋体"/>
              <w:szCs w:val="32"/>
            </w:rPr>
            <w:t>及职责工作</w:t>
          </w:r>
          <w:r>
            <w:rPr>
              <w:rFonts w:hint="eastAsia" w:ascii="楷体_GB2312" w:eastAsia="楷体_GB2312"/>
              <w:szCs w:val="32"/>
            </w:rPr>
            <w:t>任务情况</w:t>
          </w:r>
          <w:r>
            <w:tab/>
          </w:r>
          <w:r>
            <w:fldChar w:fldCharType="begin"/>
          </w:r>
          <w:r>
            <w:instrText xml:space="preserve"> PAGEREF _Toc15081 \h </w:instrText>
          </w:r>
          <w:r>
            <w:fldChar w:fldCharType="separate"/>
          </w:r>
          <w:r>
            <w:t>1</w:t>
          </w:r>
          <w:r>
            <w:fldChar w:fldCharType="end"/>
          </w:r>
          <w:r>
            <w:rPr>
              <w:rFonts w:hint="eastAsia" w:ascii="仿宋_GB2312" w:hAnsi="仿宋_GB2312" w:eastAsia="仿宋_GB2312" w:cs="仿宋_GB2312"/>
              <w:szCs w:val="32"/>
            </w:rPr>
            <w:fldChar w:fldCharType="end"/>
          </w:r>
        </w:p>
        <w:p>
          <w:pPr>
            <w:pStyle w:val="7"/>
            <w:tabs>
              <w:tab w:val="right" w:leader="dot" w:pos="8306"/>
            </w:tabs>
            <w:spacing w:line="480" w:lineRule="auto"/>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_Toc2823 </w:instrText>
          </w:r>
          <w:r>
            <w:rPr>
              <w:rFonts w:hint="eastAsia" w:ascii="仿宋_GB2312" w:hAnsi="仿宋_GB2312" w:eastAsia="仿宋_GB2312" w:cs="仿宋_GB2312"/>
              <w:szCs w:val="32"/>
            </w:rPr>
            <w:fldChar w:fldCharType="separate"/>
          </w:r>
          <w:r>
            <w:rPr>
              <w:rFonts w:hint="eastAsia" w:ascii="楷体_GB2312" w:eastAsia="楷体_GB2312"/>
              <w:szCs w:val="32"/>
            </w:rPr>
            <w:t>（二）部门整体绩效目标设立情况</w:t>
          </w:r>
          <w:r>
            <w:tab/>
          </w:r>
          <w:r>
            <w:fldChar w:fldCharType="begin"/>
          </w:r>
          <w:r>
            <w:instrText xml:space="preserve"> PAGEREF _Toc2823 \h </w:instrText>
          </w:r>
          <w:r>
            <w:fldChar w:fldCharType="separate"/>
          </w:r>
          <w:r>
            <w:t>2</w:t>
          </w:r>
          <w:r>
            <w:fldChar w:fldCharType="end"/>
          </w:r>
          <w:r>
            <w:rPr>
              <w:rFonts w:hint="eastAsia" w:ascii="仿宋_GB2312" w:hAnsi="仿宋_GB2312" w:eastAsia="仿宋_GB2312" w:cs="仿宋_GB2312"/>
              <w:szCs w:val="32"/>
            </w:rPr>
            <w:fldChar w:fldCharType="end"/>
          </w:r>
        </w:p>
        <w:p>
          <w:pPr>
            <w:pStyle w:val="6"/>
            <w:tabs>
              <w:tab w:val="right" w:leader="dot" w:pos="8306"/>
            </w:tabs>
            <w:spacing w:line="480" w:lineRule="auto"/>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_Toc16367 </w:instrText>
          </w:r>
          <w:r>
            <w:rPr>
              <w:rFonts w:hint="eastAsia" w:ascii="仿宋_GB2312" w:hAnsi="仿宋_GB2312" w:eastAsia="仿宋_GB2312" w:cs="仿宋_GB2312"/>
              <w:szCs w:val="32"/>
            </w:rPr>
            <w:fldChar w:fldCharType="separate"/>
          </w:r>
          <w:r>
            <w:rPr>
              <w:rFonts w:hint="eastAsia" w:ascii="黑体" w:hAnsi="黑体" w:eastAsia="黑体" w:cs="宋体"/>
              <w:kern w:val="0"/>
              <w:szCs w:val="32"/>
            </w:rPr>
            <w:t>二</w:t>
          </w:r>
          <w:r>
            <w:rPr>
              <w:rFonts w:ascii="黑体" w:hAnsi="黑体" w:eastAsia="黑体" w:cs="宋体"/>
              <w:kern w:val="0"/>
              <w:szCs w:val="32"/>
            </w:rPr>
            <w:t>、</w:t>
          </w:r>
          <w:r>
            <w:rPr>
              <w:rFonts w:hint="eastAsia" w:ascii="黑体" w:hAnsi="黑体" w:eastAsia="黑体" w:cs="宋体"/>
              <w:kern w:val="0"/>
              <w:szCs w:val="32"/>
            </w:rPr>
            <w:t>当年</w:t>
          </w:r>
          <w:r>
            <w:rPr>
              <w:rFonts w:ascii="黑体" w:hAnsi="黑体" w:eastAsia="黑体" w:cs="宋体"/>
              <w:kern w:val="0"/>
              <w:szCs w:val="32"/>
            </w:rPr>
            <w:t>预算执行情况</w:t>
          </w:r>
          <w:r>
            <w:tab/>
          </w:r>
          <w:r>
            <w:fldChar w:fldCharType="begin"/>
          </w:r>
          <w:r>
            <w:instrText xml:space="preserve"> PAGEREF _Toc16367 \h </w:instrText>
          </w:r>
          <w:r>
            <w:fldChar w:fldCharType="separate"/>
          </w:r>
          <w:r>
            <w:t>4</w:t>
          </w:r>
          <w:r>
            <w:fldChar w:fldCharType="end"/>
          </w:r>
          <w:r>
            <w:rPr>
              <w:rFonts w:hint="eastAsia" w:ascii="仿宋_GB2312" w:hAnsi="仿宋_GB2312" w:eastAsia="仿宋_GB2312" w:cs="仿宋_GB2312"/>
              <w:szCs w:val="32"/>
            </w:rPr>
            <w:fldChar w:fldCharType="end"/>
          </w:r>
        </w:p>
        <w:p>
          <w:pPr>
            <w:pStyle w:val="6"/>
            <w:tabs>
              <w:tab w:val="right" w:leader="dot" w:pos="8306"/>
            </w:tabs>
            <w:spacing w:line="480" w:lineRule="auto"/>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_Toc18076 </w:instrText>
          </w:r>
          <w:r>
            <w:rPr>
              <w:rFonts w:hint="eastAsia" w:ascii="仿宋_GB2312" w:hAnsi="仿宋_GB2312" w:eastAsia="仿宋_GB2312" w:cs="仿宋_GB2312"/>
              <w:szCs w:val="32"/>
            </w:rPr>
            <w:fldChar w:fldCharType="separate"/>
          </w:r>
          <w:r>
            <w:rPr>
              <w:rFonts w:hint="eastAsia" w:ascii="黑体" w:hAnsi="黑体" w:eastAsia="黑体" w:cs="宋体"/>
              <w:kern w:val="0"/>
              <w:szCs w:val="32"/>
            </w:rPr>
            <w:t>三</w:t>
          </w:r>
          <w:r>
            <w:rPr>
              <w:rFonts w:ascii="黑体" w:hAnsi="黑体" w:eastAsia="黑体" w:cs="宋体"/>
              <w:kern w:val="0"/>
              <w:szCs w:val="32"/>
            </w:rPr>
            <w:t>、整体绩效目标实现情况</w:t>
          </w:r>
          <w:r>
            <w:tab/>
          </w:r>
          <w:r>
            <w:fldChar w:fldCharType="begin"/>
          </w:r>
          <w:r>
            <w:instrText xml:space="preserve"> PAGEREF _Toc18076 \h </w:instrText>
          </w:r>
          <w:r>
            <w:fldChar w:fldCharType="separate"/>
          </w:r>
          <w:r>
            <w:t>4</w:t>
          </w:r>
          <w:r>
            <w:fldChar w:fldCharType="end"/>
          </w:r>
          <w:r>
            <w:rPr>
              <w:rFonts w:hint="eastAsia" w:ascii="仿宋_GB2312" w:hAnsi="仿宋_GB2312" w:eastAsia="仿宋_GB2312" w:cs="仿宋_GB2312"/>
              <w:szCs w:val="32"/>
            </w:rPr>
            <w:fldChar w:fldCharType="end"/>
          </w:r>
        </w:p>
        <w:p>
          <w:pPr>
            <w:pStyle w:val="7"/>
            <w:tabs>
              <w:tab w:val="right" w:leader="dot" w:pos="8306"/>
            </w:tabs>
            <w:spacing w:line="480" w:lineRule="auto"/>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_Toc17108 </w:instrText>
          </w:r>
          <w:r>
            <w:rPr>
              <w:rFonts w:hint="eastAsia" w:ascii="仿宋_GB2312" w:hAnsi="仿宋_GB2312" w:eastAsia="仿宋_GB2312" w:cs="仿宋_GB2312"/>
              <w:szCs w:val="32"/>
            </w:rPr>
            <w:fldChar w:fldCharType="separate"/>
          </w:r>
          <w:r>
            <w:rPr>
              <w:rFonts w:hint="eastAsia" w:ascii="楷体_GB2312" w:eastAsia="楷体_GB2312"/>
              <w:szCs w:val="32"/>
            </w:rPr>
            <w:t>（一）产出完成情况分析</w:t>
          </w:r>
          <w:r>
            <w:tab/>
          </w:r>
          <w:r>
            <w:fldChar w:fldCharType="begin"/>
          </w:r>
          <w:r>
            <w:instrText xml:space="preserve"> PAGEREF _Toc17108 \h </w:instrText>
          </w:r>
          <w:r>
            <w:fldChar w:fldCharType="separate"/>
          </w:r>
          <w:r>
            <w:t>4</w:t>
          </w:r>
          <w:r>
            <w:fldChar w:fldCharType="end"/>
          </w:r>
          <w:r>
            <w:rPr>
              <w:rFonts w:hint="eastAsia" w:ascii="仿宋_GB2312" w:hAnsi="仿宋_GB2312" w:eastAsia="仿宋_GB2312" w:cs="仿宋_GB2312"/>
              <w:szCs w:val="32"/>
            </w:rPr>
            <w:fldChar w:fldCharType="end"/>
          </w:r>
        </w:p>
        <w:p>
          <w:pPr>
            <w:pStyle w:val="7"/>
            <w:tabs>
              <w:tab w:val="right" w:leader="dot" w:pos="8306"/>
            </w:tabs>
            <w:spacing w:line="480" w:lineRule="auto"/>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_Toc23581 </w:instrText>
          </w:r>
          <w:r>
            <w:rPr>
              <w:rFonts w:hint="eastAsia" w:ascii="仿宋_GB2312" w:hAnsi="仿宋_GB2312" w:eastAsia="仿宋_GB2312" w:cs="仿宋_GB2312"/>
              <w:szCs w:val="32"/>
            </w:rPr>
            <w:fldChar w:fldCharType="separate"/>
          </w:r>
          <w:r>
            <w:rPr>
              <w:rFonts w:hint="eastAsia" w:ascii="楷体_GB2312" w:eastAsia="楷体_GB2312"/>
              <w:szCs w:val="32"/>
            </w:rPr>
            <w:t>（二）效果</w:t>
          </w:r>
          <w:r>
            <w:rPr>
              <w:rFonts w:ascii="楷体_GB2312" w:eastAsia="楷体_GB2312"/>
              <w:szCs w:val="32"/>
            </w:rPr>
            <w:t>实现情况分析</w:t>
          </w:r>
          <w:r>
            <w:tab/>
          </w:r>
          <w:r>
            <w:fldChar w:fldCharType="begin"/>
          </w:r>
          <w:r>
            <w:instrText xml:space="preserve"> PAGEREF _Toc23581 \h </w:instrText>
          </w:r>
          <w:r>
            <w:fldChar w:fldCharType="separate"/>
          </w:r>
          <w:r>
            <w:t>7</w:t>
          </w:r>
          <w:r>
            <w:fldChar w:fldCharType="end"/>
          </w:r>
          <w:r>
            <w:rPr>
              <w:rFonts w:hint="eastAsia" w:ascii="仿宋_GB2312" w:hAnsi="仿宋_GB2312" w:eastAsia="仿宋_GB2312" w:cs="仿宋_GB2312"/>
              <w:szCs w:val="32"/>
            </w:rPr>
            <w:fldChar w:fldCharType="end"/>
          </w:r>
        </w:p>
        <w:p>
          <w:pPr>
            <w:pStyle w:val="6"/>
            <w:tabs>
              <w:tab w:val="right" w:leader="dot" w:pos="8306"/>
            </w:tabs>
            <w:spacing w:line="480" w:lineRule="auto"/>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_Toc27235 </w:instrText>
          </w:r>
          <w:r>
            <w:rPr>
              <w:rFonts w:hint="eastAsia" w:ascii="仿宋_GB2312" w:hAnsi="仿宋_GB2312" w:eastAsia="仿宋_GB2312" w:cs="仿宋_GB2312"/>
              <w:szCs w:val="32"/>
            </w:rPr>
            <w:fldChar w:fldCharType="separate"/>
          </w:r>
          <w:r>
            <w:rPr>
              <w:rFonts w:hint="eastAsia" w:ascii="黑体" w:hAnsi="黑体" w:eastAsia="黑体" w:cs="宋体"/>
              <w:kern w:val="0"/>
              <w:szCs w:val="32"/>
            </w:rPr>
            <w:t>四</w:t>
          </w:r>
          <w:r>
            <w:rPr>
              <w:rFonts w:ascii="黑体" w:hAnsi="黑体" w:eastAsia="黑体" w:cs="宋体"/>
              <w:kern w:val="0"/>
              <w:szCs w:val="32"/>
            </w:rPr>
            <w:t>、预算管理</w:t>
          </w:r>
          <w:r>
            <w:rPr>
              <w:rFonts w:hint="eastAsia" w:ascii="黑体" w:hAnsi="黑体" w:eastAsia="黑体" w:cs="宋体"/>
              <w:kern w:val="0"/>
              <w:szCs w:val="32"/>
            </w:rPr>
            <w:t>情况分</w:t>
          </w:r>
          <w:r>
            <w:rPr>
              <w:rFonts w:ascii="黑体" w:hAnsi="黑体" w:eastAsia="黑体" w:cs="宋体"/>
              <w:kern w:val="0"/>
              <w:szCs w:val="32"/>
            </w:rPr>
            <w:t>析</w:t>
          </w:r>
          <w:r>
            <w:tab/>
          </w:r>
          <w:r>
            <w:fldChar w:fldCharType="begin"/>
          </w:r>
          <w:r>
            <w:instrText xml:space="preserve"> PAGEREF _Toc27235 \h </w:instrText>
          </w:r>
          <w:r>
            <w:fldChar w:fldCharType="separate"/>
          </w:r>
          <w:r>
            <w:t>10</w:t>
          </w:r>
          <w:r>
            <w:fldChar w:fldCharType="end"/>
          </w:r>
          <w:r>
            <w:rPr>
              <w:rFonts w:hint="eastAsia" w:ascii="仿宋_GB2312" w:hAnsi="仿宋_GB2312" w:eastAsia="仿宋_GB2312" w:cs="仿宋_GB2312"/>
              <w:szCs w:val="32"/>
            </w:rPr>
            <w:fldChar w:fldCharType="end"/>
          </w:r>
        </w:p>
        <w:p>
          <w:pPr>
            <w:pStyle w:val="7"/>
            <w:tabs>
              <w:tab w:val="right" w:leader="dot" w:pos="8306"/>
            </w:tabs>
            <w:spacing w:line="480" w:lineRule="auto"/>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_Toc25956 </w:instrText>
          </w:r>
          <w:r>
            <w:rPr>
              <w:rFonts w:hint="eastAsia" w:ascii="仿宋_GB2312" w:hAnsi="仿宋_GB2312" w:eastAsia="仿宋_GB2312" w:cs="仿宋_GB2312"/>
              <w:szCs w:val="32"/>
            </w:rPr>
            <w:fldChar w:fldCharType="separate"/>
          </w:r>
          <w:r>
            <w:rPr>
              <w:rFonts w:hint="eastAsia" w:ascii="楷体_GB2312" w:eastAsia="楷体_GB2312"/>
              <w:szCs w:val="32"/>
            </w:rPr>
            <w:t>（一）财务管理</w:t>
          </w:r>
          <w:r>
            <w:tab/>
          </w:r>
          <w:r>
            <w:fldChar w:fldCharType="begin"/>
          </w:r>
          <w:r>
            <w:instrText xml:space="preserve"> PAGEREF _Toc25956 \h </w:instrText>
          </w:r>
          <w:r>
            <w:fldChar w:fldCharType="separate"/>
          </w:r>
          <w:r>
            <w:t>10</w:t>
          </w:r>
          <w:r>
            <w:fldChar w:fldCharType="end"/>
          </w:r>
          <w:r>
            <w:rPr>
              <w:rFonts w:hint="eastAsia" w:ascii="仿宋_GB2312" w:hAnsi="仿宋_GB2312" w:eastAsia="仿宋_GB2312" w:cs="仿宋_GB2312"/>
              <w:szCs w:val="32"/>
            </w:rPr>
            <w:fldChar w:fldCharType="end"/>
          </w:r>
        </w:p>
        <w:p>
          <w:pPr>
            <w:pStyle w:val="7"/>
            <w:tabs>
              <w:tab w:val="right" w:leader="dot" w:pos="8306"/>
            </w:tabs>
            <w:spacing w:line="480" w:lineRule="auto"/>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_Toc9818 </w:instrText>
          </w:r>
          <w:r>
            <w:rPr>
              <w:rFonts w:hint="eastAsia" w:ascii="仿宋_GB2312" w:hAnsi="仿宋_GB2312" w:eastAsia="仿宋_GB2312" w:cs="仿宋_GB2312"/>
              <w:szCs w:val="32"/>
            </w:rPr>
            <w:fldChar w:fldCharType="separate"/>
          </w:r>
          <w:r>
            <w:rPr>
              <w:rFonts w:hint="eastAsia" w:ascii="楷体_GB2312" w:eastAsia="楷体_GB2312"/>
              <w:szCs w:val="32"/>
            </w:rPr>
            <w:t>（二）资产管理</w:t>
          </w:r>
          <w:r>
            <w:tab/>
          </w:r>
          <w:r>
            <w:fldChar w:fldCharType="begin"/>
          </w:r>
          <w:r>
            <w:instrText xml:space="preserve"> PAGEREF _Toc9818 \h </w:instrText>
          </w:r>
          <w:r>
            <w:fldChar w:fldCharType="separate"/>
          </w:r>
          <w:r>
            <w:t>11</w:t>
          </w:r>
          <w:r>
            <w:fldChar w:fldCharType="end"/>
          </w:r>
          <w:r>
            <w:rPr>
              <w:rFonts w:hint="eastAsia" w:ascii="仿宋_GB2312" w:hAnsi="仿宋_GB2312" w:eastAsia="仿宋_GB2312" w:cs="仿宋_GB2312"/>
              <w:szCs w:val="32"/>
            </w:rPr>
            <w:fldChar w:fldCharType="end"/>
          </w:r>
        </w:p>
        <w:p>
          <w:pPr>
            <w:pStyle w:val="7"/>
            <w:tabs>
              <w:tab w:val="right" w:leader="dot" w:pos="8306"/>
            </w:tabs>
            <w:spacing w:line="480" w:lineRule="auto"/>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_Toc9017 </w:instrText>
          </w:r>
          <w:r>
            <w:rPr>
              <w:rFonts w:hint="eastAsia" w:ascii="仿宋_GB2312" w:hAnsi="仿宋_GB2312" w:eastAsia="仿宋_GB2312" w:cs="仿宋_GB2312"/>
              <w:szCs w:val="32"/>
            </w:rPr>
            <w:fldChar w:fldCharType="separate"/>
          </w:r>
          <w:r>
            <w:rPr>
              <w:rFonts w:hint="eastAsia" w:ascii="楷体_GB2312" w:eastAsia="楷体_GB2312"/>
              <w:szCs w:val="32"/>
            </w:rPr>
            <w:t>（三）绩效</w:t>
          </w:r>
          <w:r>
            <w:rPr>
              <w:rFonts w:ascii="楷体_GB2312" w:eastAsia="楷体_GB2312"/>
              <w:szCs w:val="32"/>
            </w:rPr>
            <w:t>管理</w:t>
          </w:r>
          <w:r>
            <w:tab/>
          </w:r>
          <w:r>
            <w:fldChar w:fldCharType="begin"/>
          </w:r>
          <w:r>
            <w:instrText xml:space="preserve"> PAGEREF _Toc9017 \h </w:instrText>
          </w:r>
          <w:r>
            <w:fldChar w:fldCharType="separate"/>
          </w:r>
          <w:r>
            <w:t>11</w:t>
          </w:r>
          <w:r>
            <w:fldChar w:fldCharType="end"/>
          </w:r>
          <w:r>
            <w:rPr>
              <w:rFonts w:hint="eastAsia" w:ascii="仿宋_GB2312" w:hAnsi="仿宋_GB2312" w:eastAsia="仿宋_GB2312" w:cs="仿宋_GB2312"/>
              <w:szCs w:val="32"/>
            </w:rPr>
            <w:fldChar w:fldCharType="end"/>
          </w:r>
        </w:p>
        <w:p>
          <w:pPr>
            <w:pStyle w:val="7"/>
            <w:tabs>
              <w:tab w:val="right" w:leader="dot" w:pos="8306"/>
            </w:tabs>
            <w:spacing w:line="480" w:lineRule="auto"/>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_Toc11332 </w:instrText>
          </w:r>
          <w:r>
            <w:rPr>
              <w:rFonts w:hint="eastAsia" w:ascii="仿宋_GB2312" w:hAnsi="仿宋_GB2312" w:eastAsia="仿宋_GB2312" w:cs="仿宋_GB2312"/>
              <w:szCs w:val="32"/>
            </w:rPr>
            <w:fldChar w:fldCharType="separate"/>
          </w:r>
          <w:r>
            <w:rPr>
              <w:rFonts w:hint="eastAsia" w:ascii="楷体_GB2312" w:eastAsia="楷体_GB2312"/>
              <w:szCs w:val="32"/>
            </w:rPr>
            <w:t>（四）结转结余率</w:t>
          </w:r>
          <w:r>
            <w:tab/>
          </w:r>
          <w:r>
            <w:fldChar w:fldCharType="begin"/>
          </w:r>
          <w:r>
            <w:instrText xml:space="preserve"> PAGEREF _Toc11332 \h </w:instrText>
          </w:r>
          <w:r>
            <w:fldChar w:fldCharType="separate"/>
          </w:r>
          <w:r>
            <w:t>11</w:t>
          </w:r>
          <w:r>
            <w:fldChar w:fldCharType="end"/>
          </w:r>
          <w:r>
            <w:rPr>
              <w:rFonts w:hint="eastAsia" w:ascii="仿宋_GB2312" w:hAnsi="仿宋_GB2312" w:eastAsia="仿宋_GB2312" w:cs="仿宋_GB2312"/>
              <w:szCs w:val="32"/>
            </w:rPr>
            <w:fldChar w:fldCharType="end"/>
          </w:r>
        </w:p>
        <w:p>
          <w:pPr>
            <w:pStyle w:val="7"/>
            <w:tabs>
              <w:tab w:val="right" w:leader="dot" w:pos="8306"/>
            </w:tabs>
            <w:spacing w:line="480" w:lineRule="auto"/>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_Toc5471 </w:instrText>
          </w:r>
          <w:r>
            <w:rPr>
              <w:rFonts w:hint="eastAsia" w:ascii="仿宋_GB2312" w:hAnsi="仿宋_GB2312" w:eastAsia="仿宋_GB2312" w:cs="仿宋_GB2312"/>
              <w:szCs w:val="32"/>
            </w:rPr>
            <w:fldChar w:fldCharType="separate"/>
          </w:r>
          <w:r>
            <w:rPr>
              <w:rFonts w:hint="eastAsia" w:ascii="楷体_GB2312" w:eastAsia="楷体_GB2312"/>
              <w:szCs w:val="32"/>
            </w:rPr>
            <w:t>（五）部门</w:t>
          </w:r>
          <w:r>
            <w:rPr>
              <w:rFonts w:ascii="楷体_GB2312" w:eastAsia="楷体_GB2312"/>
              <w:szCs w:val="32"/>
            </w:rPr>
            <w:t>预决算差异率</w:t>
          </w:r>
          <w:r>
            <w:tab/>
          </w:r>
          <w:r>
            <w:fldChar w:fldCharType="begin"/>
          </w:r>
          <w:r>
            <w:instrText xml:space="preserve"> PAGEREF _Toc5471 \h </w:instrText>
          </w:r>
          <w:r>
            <w:fldChar w:fldCharType="separate"/>
          </w:r>
          <w:r>
            <w:t>12</w:t>
          </w:r>
          <w:r>
            <w:fldChar w:fldCharType="end"/>
          </w:r>
          <w:r>
            <w:rPr>
              <w:rFonts w:hint="eastAsia" w:ascii="仿宋_GB2312" w:hAnsi="仿宋_GB2312" w:eastAsia="仿宋_GB2312" w:cs="仿宋_GB2312"/>
              <w:szCs w:val="32"/>
            </w:rPr>
            <w:fldChar w:fldCharType="end"/>
          </w:r>
        </w:p>
        <w:p>
          <w:pPr>
            <w:pStyle w:val="6"/>
            <w:tabs>
              <w:tab w:val="right" w:leader="dot" w:pos="8306"/>
            </w:tabs>
            <w:spacing w:line="480" w:lineRule="auto"/>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_Toc974 </w:instrText>
          </w:r>
          <w:r>
            <w:rPr>
              <w:rFonts w:hint="eastAsia" w:ascii="仿宋_GB2312" w:hAnsi="仿宋_GB2312" w:eastAsia="仿宋_GB2312" w:cs="仿宋_GB2312"/>
              <w:szCs w:val="32"/>
            </w:rPr>
            <w:fldChar w:fldCharType="separate"/>
          </w:r>
          <w:r>
            <w:rPr>
              <w:rFonts w:hint="eastAsia" w:ascii="黑体" w:hAnsi="黑体" w:eastAsia="黑体"/>
              <w:szCs w:val="32"/>
            </w:rPr>
            <w:t>五、总体</w:t>
          </w:r>
          <w:r>
            <w:rPr>
              <w:rFonts w:ascii="黑体" w:hAnsi="黑体" w:eastAsia="黑体"/>
              <w:szCs w:val="32"/>
            </w:rPr>
            <w:t>评价结论</w:t>
          </w:r>
          <w:r>
            <w:tab/>
          </w:r>
          <w:r>
            <w:fldChar w:fldCharType="begin"/>
          </w:r>
          <w:r>
            <w:instrText xml:space="preserve"> PAGEREF _Toc974 \h </w:instrText>
          </w:r>
          <w:r>
            <w:fldChar w:fldCharType="separate"/>
          </w:r>
          <w:r>
            <w:t>12</w:t>
          </w:r>
          <w:r>
            <w:fldChar w:fldCharType="end"/>
          </w:r>
          <w:r>
            <w:rPr>
              <w:rFonts w:hint="eastAsia" w:ascii="仿宋_GB2312" w:hAnsi="仿宋_GB2312" w:eastAsia="仿宋_GB2312" w:cs="仿宋_GB2312"/>
              <w:szCs w:val="32"/>
            </w:rPr>
            <w:fldChar w:fldCharType="end"/>
          </w:r>
        </w:p>
        <w:p>
          <w:pPr>
            <w:pStyle w:val="7"/>
            <w:tabs>
              <w:tab w:val="right" w:leader="dot" w:pos="8306"/>
            </w:tabs>
            <w:spacing w:line="480" w:lineRule="auto"/>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_Toc22514 </w:instrText>
          </w:r>
          <w:r>
            <w:rPr>
              <w:rFonts w:hint="eastAsia" w:ascii="仿宋_GB2312" w:hAnsi="仿宋_GB2312" w:eastAsia="仿宋_GB2312" w:cs="仿宋_GB2312"/>
              <w:szCs w:val="32"/>
            </w:rPr>
            <w:fldChar w:fldCharType="separate"/>
          </w:r>
          <w:r>
            <w:rPr>
              <w:rFonts w:hint="eastAsia" w:ascii="楷体_GB2312" w:eastAsia="楷体_GB2312"/>
              <w:szCs w:val="32"/>
            </w:rPr>
            <w:t>（一）评价</w:t>
          </w:r>
          <w:r>
            <w:rPr>
              <w:rFonts w:ascii="楷体_GB2312" w:eastAsia="楷体_GB2312"/>
              <w:szCs w:val="32"/>
            </w:rPr>
            <w:t>得分</w:t>
          </w:r>
          <w:r>
            <w:rPr>
              <w:rFonts w:hint="eastAsia" w:ascii="楷体_GB2312" w:eastAsia="楷体_GB2312"/>
              <w:szCs w:val="32"/>
            </w:rPr>
            <w:t>情况</w:t>
          </w:r>
          <w:r>
            <w:tab/>
          </w:r>
          <w:r>
            <w:fldChar w:fldCharType="begin"/>
          </w:r>
          <w:r>
            <w:instrText xml:space="preserve"> PAGEREF _Toc22514 \h </w:instrText>
          </w:r>
          <w:r>
            <w:fldChar w:fldCharType="separate"/>
          </w:r>
          <w:r>
            <w:t>12</w:t>
          </w:r>
          <w:r>
            <w:fldChar w:fldCharType="end"/>
          </w:r>
          <w:r>
            <w:rPr>
              <w:rFonts w:hint="eastAsia" w:ascii="仿宋_GB2312" w:hAnsi="仿宋_GB2312" w:eastAsia="仿宋_GB2312" w:cs="仿宋_GB2312"/>
              <w:szCs w:val="32"/>
            </w:rPr>
            <w:fldChar w:fldCharType="end"/>
          </w:r>
        </w:p>
        <w:p>
          <w:pPr>
            <w:pStyle w:val="7"/>
            <w:tabs>
              <w:tab w:val="right" w:leader="dot" w:pos="8306"/>
            </w:tabs>
            <w:spacing w:line="480" w:lineRule="auto"/>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_Toc26401 </w:instrText>
          </w:r>
          <w:r>
            <w:rPr>
              <w:rFonts w:hint="eastAsia" w:ascii="仿宋_GB2312" w:hAnsi="仿宋_GB2312" w:eastAsia="仿宋_GB2312" w:cs="仿宋_GB2312"/>
              <w:szCs w:val="32"/>
            </w:rPr>
            <w:fldChar w:fldCharType="separate"/>
          </w:r>
          <w:r>
            <w:rPr>
              <w:rFonts w:hint="eastAsia" w:ascii="楷体_GB2312" w:eastAsia="楷体_GB2312"/>
              <w:szCs w:val="32"/>
            </w:rPr>
            <w:t>（二）存在的问题及原因分析</w:t>
          </w:r>
          <w:r>
            <w:tab/>
          </w:r>
          <w:r>
            <w:fldChar w:fldCharType="begin"/>
          </w:r>
          <w:r>
            <w:instrText xml:space="preserve"> PAGEREF _Toc26401 \h </w:instrText>
          </w:r>
          <w:r>
            <w:fldChar w:fldCharType="separate"/>
          </w:r>
          <w:r>
            <w:t>12</w:t>
          </w:r>
          <w:r>
            <w:fldChar w:fldCharType="end"/>
          </w:r>
          <w:r>
            <w:rPr>
              <w:rFonts w:hint="eastAsia" w:ascii="仿宋_GB2312" w:hAnsi="仿宋_GB2312" w:eastAsia="仿宋_GB2312" w:cs="仿宋_GB2312"/>
              <w:szCs w:val="32"/>
            </w:rPr>
            <w:fldChar w:fldCharType="end"/>
          </w:r>
        </w:p>
        <w:p>
          <w:pPr>
            <w:pStyle w:val="6"/>
            <w:tabs>
              <w:tab w:val="right" w:leader="dot" w:pos="8306"/>
            </w:tabs>
            <w:spacing w:line="480" w:lineRule="auto"/>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_Toc6386 </w:instrText>
          </w:r>
          <w:r>
            <w:rPr>
              <w:rFonts w:hint="eastAsia" w:ascii="仿宋_GB2312" w:hAnsi="仿宋_GB2312" w:eastAsia="仿宋_GB2312" w:cs="仿宋_GB2312"/>
              <w:szCs w:val="32"/>
            </w:rPr>
            <w:fldChar w:fldCharType="separate"/>
          </w:r>
          <w:r>
            <w:rPr>
              <w:rFonts w:hint="eastAsia" w:ascii="黑体" w:hAnsi="黑体" w:eastAsia="黑体" w:cs="宋体"/>
              <w:kern w:val="0"/>
              <w:szCs w:val="32"/>
            </w:rPr>
            <w:t>六、措施建议</w:t>
          </w:r>
          <w:r>
            <w:tab/>
          </w:r>
          <w:r>
            <w:fldChar w:fldCharType="begin"/>
          </w:r>
          <w:r>
            <w:instrText xml:space="preserve"> PAGEREF _Toc6386 \h </w:instrText>
          </w:r>
          <w:r>
            <w:fldChar w:fldCharType="separate"/>
          </w:r>
          <w:r>
            <w:t>13</w:t>
          </w:r>
          <w:r>
            <w:fldChar w:fldCharType="end"/>
          </w:r>
          <w:r>
            <w:rPr>
              <w:rFonts w:hint="eastAsia" w:ascii="仿宋_GB2312" w:hAnsi="仿宋_GB2312" w:eastAsia="仿宋_GB2312" w:cs="仿宋_GB2312"/>
              <w:szCs w:val="32"/>
            </w:rPr>
            <w:fldChar w:fldCharType="end"/>
          </w:r>
        </w:p>
        <w:p>
          <w:r>
            <w:rPr>
              <w:rFonts w:hint="eastAsia" w:ascii="仿宋_GB2312" w:hAnsi="仿宋_GB2312" w:eastAsia="仿宋_GB2312" w:cs="仿宋_GB2312"/>
              <w:sz w:val="32"/>
              <w:szCs w:val="32"/>
            </w:rPr>
            <w:fldChar w:fldCharType="end"/>
          </w:r>
        </w:p>
      </w:sdtContent>
    </w:sdt>
    <w:p>
      <w:pPr>
        <w:spacing w:line="560" w:lineRule="exact"/>
        <w:jc w:val="center"/>
        <w:rPr>
          <w:rFonts w:hint="eastAsia" w:ascii="方正小标宋简体" w:eastAsia="方正小标宋简体"/>
          <w:sz w:val="36"/>
          <w:szCs w:val="36"/>
          <w:lang w:val="en-US" w:eastAsia="zh-CN"/>
        </w:rPr>
        <w:sectPr>
          <w:footerReference r:id="rId5" w:type="default"/>
          <w:pgSz w:w="11906" w:h="16838"/>
          <w:pgMar w:top="1440" w:right="1800" w:bottom="1440" w:left="1800" w:header="851" w:footer="992" w:gutter="0"/>
          <w:pgNumType w:start="1"/>
          <w:cols w:space="425" w:num="1"/>
          <w:docGrid w:type="lines" w:linePitch="312" w:charSpace="0"/>
        </w:sectPr>
      </w:pPr>
      <w:bookmarkStart w:id="54" w:name="_GoBack"/>
      <w:bookmarkEnd w:id="54"/>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北京市重点站区管理委员会</w:t>
      </w:r>
    </w:p>
    <w:p>
      <w:pPr>
        <w:spacing w:line="560" w:lineRule="exact"/>
        <w:jc w:val="center"/>
        <w:rPr>
          <w:rFonts w:ascii="方正小标宋简体" w:eastAsia="方正小标宋简体"/>
          <w:sz w:val="36"/>
          <w:szCs w:val="36"/>
        </w:rPr>
      </w:pPr>
      <w:bookmarkStart w:id="0" w:name="_Toc4021"/>
      <w:bookmarkStart w:id="1" w:name="_Toc22521"/>
      <w:r>
        <w:rPr>
          <w:rFonts w:hint="eastAsia" w:ascii="方正小标宋简体" w:eastAsia="方正小标宋简体"/>
          <w:sz w:val="36"/>
          <w:szCs w:val="36"/>
        </w:rPr>
        <w:t>部门整体绩效评价报告</w:t>
      </w:r>
      <w:bookmarkEnd w:id="0"/>
      <w:bookmarkEnd w:id="1"/>
    </w:p>
    <w:p>
      <w:pPr>
        <w:spacing w:line="560" w:lineRule="exact"/>
        <w:jc w:val="center"/>
        <w:rPr>
          <w:rFonts w:ascii="方正小标宋简体" w:eastAsia="方正小标宋简体"/>
          <w:sz w:val="36"/>
          <w:szCs w:val="36"/>
        </w:rPr>
      </w:pPr>
    </w:p>
    <w:p>
      <w:pPr>
        <w:spacing w:line="600" w:lineRule="exact"/>
        <w:ind w:firstLine="640" w:firstLineChars="200"/>
        <w:outlineLvl w:val="0"/>
        <w:rPr>
          <w:rFonts w:ascii="黑体" w:hAnsi="黑体" w:eastAsia="黑体" w:cs="宋体"/>
          <w:color w:val="000000"/>
          <w:kern w:val="0"/>
          <w:sz w:val="32"/>
          <w:szCs w:val="32"/>
        </w:rPr>
      </w:pPr>
      <w:bookmarkStart w:id="2" w:name="_Toc26693"/>
      <w:bookmarkStart w:id="3" w:name="_Toc17717"/>
      <w:bookmarkStart w:id="4" w:name="_Toc14439"/>
      <w:r>
        <w:rPr>
          <w:rFonts w:hint="eastAsia" w:ascii="黑体" w:hAnsi="黑体" w:eastAsia="黑体" w:cs="宋体"/>
          <w:color w:val="000000"/>
          <w:kern w:val="0"/>
          <w:sz w:val="32"/>
          <w:szCs w:val="32"/>
        </w:rPr>
        <w:t>一、部门概况</w:t>
      </w:r>
      <w:bookmarkEnd w:id="2"/>
      <w:bookmarkEnd w:id="3"/>
      <w:bookmarkEnd w:id="4"/>
    </w:p>
    <w:p>
      <w:pPr>
        <w:spacing w:line="600" w:lineRule="exact"/>
        <w:ind w:firstLine="640" w:firstLineChars="200"/>
        <w:outlineLvl w:val="1"/>
        <w:rPr>
          <w:rFonts w:ascii="楷体_GB2312" w:eastAsia="楷体_GB2312"/>
          <w:sz w:val="32"/>
          <w:szCs w:val="32"/>
        </w:rPr>
      </w:pPr>
      <w:bookmarkStart w:id="5" w:name="_Toc15081"/>
      <w:bookmarkStart w:id="6" w:name="_Toc24074"/>
      <w:bookmarkStart w:id="7" w:name="_Toc19560"/>
      <w:r>
        <w:rPr>
          <w:rFonts w:hint="eastAsia" w:ascii="楷体_GB2312" w:eastAsia="楷体_GB2312"/>
          <w:sz w:val="32"/>
          <w:szCs w:val="32"/>
        </w:rPr>
        <w:t>（一）机构设置及职责工作任务情况</w:t>
      </w:r>
      <w:bookmarkEnd w:id="5"/>
      <w:bookmarkEnd w:id="6"/>
      <w:bookmarkEnd w:id="7"/>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根据《中共北京市委办公厅、北京市人民政府办公厅关于印发〈北京市重点站区管理委员会职能配置、内设机构和人员编制规定〉的通知》（京办字〔2020〕8号），设立</w:t>
      </w:r>
      <w:r>
        <w:rPr>
          <w:rFonts w:hint="eastAsia" w:ascii="仿宋_GB2312" w:hAnsi="仿宋_GB2312" w:eastAsia="仿宋_GB2312" w:cs="仿宋_GB2312"/>
          <w:sz w:val="32"/>
          <w:szCs w:val="32"/>
          <w:lang w:eastAsia="zh-CN"/>
        </w:rPr>
        <w:t>北京</w:t>
      </w:r>
      <w:r>
        <w:rPr>
          <w:rFonts w:hint="eastAsia" w:ascii="仿宋_GB2312" w:hAnsi="仿宋_GB2312" w:eastAsia="仿宋_GB2312" w:cs="仿宋_GB2312"/>
          <w:sz w:val="32"/>
          <w:szCs w:val="32"/>
        </w:rPr>
        <w:t>市重点站区管理委员会（以下简称市重点站区管委会），为市政府派出机构，统一负责组织协调本市重点站区的管理、服务工作，内</w:t>
      </w:r>
      <w:r>
        <w:rPr>
          <w:rFonts w:hint="eastAsia" w:ascii="仿宋_GB2312" w:hAnsi="仿宋_GB2312" w:eastAsia="仿宋_GB2312" w:cs="仿宋_GB2312"/>
          <w:sz w:val="32"/>
          <w:szCs w:val="32"/>
          <w:highlight w:val="none"/>
        </w:rPr>
        <w:t>设办公室</w:t>
      </w:r>
      <w:r>
        <w:rPr>
          <w:rFonts w:hint="eastAsia" w:ascii="仿宋_GB2312" w:hAnsi="仿宋_GB2312" w:eastAsia="仿宋_GB2312" w:cs="仿宋_GB2312"/>
          <w:sz w:val="32"/>
          <w:szCs w:val="32"/>
        </w:rPr>
        <w:t>、政策法规处、市政环境处、综合治理处、应急工作处、宣传处、财务处、人事处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离退休干部处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、北京站地区管理办公室、北京西站地区管理办公室、北京南站地区管理办公室、北京北站地区管理办公室、北京清河站地区管理办公室等15个职能处室和机关党委（党建工作处）、机关纪委、工会；下属</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个预算单位，分别为北京市重点站区管理委员会本级、北京市城市管理综合行政执法局重点站区分局和北京市重点站区综合事务中心。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市重点站区管委会</w:t>
      </w:r>
      <w:r>
        <w:rPr>
          <w:rFonts w:hint="eastAsia" w:ascii="仿宋_GB2312" w:hAnsi="仿宋_GB2312" w:eastAsia="仿宋_GB2312" w:cs="仿宋_GB2312"/>
          <w:sz w:val="32"/>
          <w:szCs w:val="32"/>
          <w:lang w:val="en-US" w:eastAsia="zh-CN"/>
        </w:rPr>
        <w:t>主要职责是：</w:t>
      </w:r>
      <w:r>
        <w:rPr>
          <w:rFonts w:hint="eastAsia" w:ascii="仿宋_GB2312" w:hAnsi="仿宋_GB2312" w:eastAsia="仿宋_GB2312" w:cs="仿宋_GB2312"/>
          <w:sz w:val="32"/>
          <w:szCs w:val="32"/>
        </w:rPr>
        <w:t>负责组织协调本市重点站区的社会治安、市场秩序、交通秩序、公共卫生、市政公用、应急管理、精神文明建设等工作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拟订相关建设、管理、服务的规划、标准并组织实施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负责协调有关部门和单位做好本市重点站区的客运工作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负责本市重点站区出站系统管理和市容环卫工作，依据城市规划完善重点站区的服务设施。负责组织、协调、监督本市重点站区的安全生产工作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并承担相应的管理责任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负责机关及所属单位的安全工作，并承担相应的领导责任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负责对有关部门和单位在本市重点站区的日常管理和服务工作进行监督检查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参与本市重点站区的规划建设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完成市委、市政府交办的其他任务。</w:t>
      </w:r>
    </w:p>
    <w:p>
      <w:pPr>
        <w:spacing w:line="560" w:lineRule="exact"/>
        <w:ind w:firstLine="640" w:firstLineChars="200"/>
      </w:pPr>
      <w:r>
        <w:rPr>
          <w:rFonts w:hint="eastAsia" w:ascii="仿宋_GB2312" w:hAnsi="宋体" w:eastAsia="仿宋_GB2312" w:cs="宋体"/>
          <w:color w:val="000000"/>
          <w:kern w:val="0"/>
          <w:sz w:val="32"/>
          <w:szCs w:val="32"/>
        </w:rPr>
        <w:t>20</w:t>
      </w:r>
      <w:r>
        <w:rPr>
          <w:rFonts w:hint="eastAsia" w:ascii="仿宋_GB2312" w:hAnsi="宋体" w:eastAsia="仿宋_GB2312" w:cs="宋体"/>
          <w:color w:val="000000"/>
          <w:kern w:val="0"/>
          <w:sz w:val="32"/>
          <w:szCs w:val="32"/>
          <w:lang w:val="en-US" w:eastAsia="zh-CN"/>
        </w:rPr>
        <w:t>23</w:t>
      </w:r>
      <w:r>
        <w:rPr>
          <w:rFonts w:hint="eastAsia" w:ascii="仿宋_GB2312" w:hAnsi="宋体" w:eastAsia="仿宋_GB2312" w:cs="宋体"/>
          <w:color w:val="000000"/>
          <w:kern w:val="0"/>
          <w:sz w:val="32"/>
          <w:szCs w:val="32"/>
        </w:rPr>
        <w:t>年度</w:t>
      </w:r>
      <w:r>
        <w:rPr>
          <w:rFonts w:hint="eastAsia" w:ascii="仿宋_GB2312" w:hAnsi="仿宋_GB2312" w:eastAsia="仿宋_GB2312" w:cs="仿宋_GB2312"/>
          <w:sz w:val="32"/>
          <w:szCs w:val="32"/>
        </w:rPr>
        <w:t>市重点站区管委会</w:t>
      </w:r>
      <w:r>
        <w:rPr>
          <w:rFonts w:hint="eastAsia" w:ascii="仿宋_GB2312" w:hAnsi="宋体" w:eastAsia="仿宋_GB2312" w:cs="宋体"/>
          <w:color w:val="000000"/>
          <w:kern w:val="0"/>
          <w:sz w:val="32"/>
          <w:szCs w:val="32"/>
        </w:rPr>
        <w:t>日常履职工作要点任务4项，具体情况如下：</w:t>
      </w:r>
    </w:p>
    <w:p>
      <w:p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1.以服务首都发展为统领，巩固站区安全基础，推动站区综合保障能力提升。</w:t>
      </w:r>
    </w:p>
    <w:p>
      <w:p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2.以全面落实《关于加强本市重点站区管理服务工作的意见》为抓手，巩固站区改革成果，推动协同治理效能提升。</w:t>
      </w:r>
    </w:p>
    <w:p>
      <w:p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3.以深化推进火车站地区交通综合整治为平台，巩固站区功能定位，推动站区服务水平提升。</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4.以深化巡视整改为契机，巩固站区发展政治保证，推动全面从严治党向纵深发展。</w:t>
      </w:r>
    </w:p>
    <w:p>
      <w:pPr>
        <w:spacing w:line="600" w:lineRule="exact"/>
        <w:ind w:firstLine="640" w:firstLineChars="200"/>
        <w:outlineLvl w:val="1"/>
        <w:rPr>
          <w:rFonts w:ascii="楷体_GB2312" w:eastAsia="楷体_GB2312"/>
          <w:sz w:val="32"/>
          <w:szCs w:val="32"/>
        </w:rPr>
      </w:pPr>
      <w:bookmarkStart w:id="8" w:name="_Toc10248"/>
      <w:bookmarkStart w:id="9" w:name="_Toc2823"/>
      <w:bookmarkStart w:id="10" w:name="_Toc25974"/>
      <w:r>
        <w:rPr>
          <w:rFonts w:hint="eastAsia" w:ascii="楷体_GB2312" w:eastAsia="楷体_GB2312"/>
          <w:sz w:val="32"/>
          <w:szCs w:val="32"/>
        </w:rPr>
        <w:t>（二）部门整体绩效目标设立情况</w:t>
      </w:r>
      <w:bookmarkEnd w:id="8"/>
      <w:bookmarkEnd w:id="9"/>
      <w:bookmarkEnd w:id="10"/>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市重点站区管委会根据部门工作职能和年度工作重点制定部门整体支出绩效目标，具体目标设定情况如下：</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1.切实加强社会秩序综合管理工作，保持地区安全稳定有序。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贯彻落实市委市政府关于城市管理综合行政执法工作的一系列文件精神，丰富完善地区综合行政执法协调运行机制，围绕地区中心工作抓好执法服务，加大对群众关心的热点和难点问题的综合整治力度；探索全时段管控工作机制，加强重点时期、重大活动期间的执法工作；全力抓好重点区域和重点违法行为的综合监管。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2.扎实推进重点工程建设，全面提高西站地区运行管理水平。</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快完成重点站区管理模式的确立，理顺站区管理体制，切实提高管理服务水平；按照管辖“四至”范围和各部门区划职责，增加执勤力量，加强安全、维稳、城市建设与管理工作，固化前一阶段整治成果；增加硬件隔离、监控等物防技防投入，完善导向标识、出租车调度站等候区、自行车存放设施升级改造；落实好机构改革后所需经费的保障和支出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3.坚持巩固国家卫生区成果，着力打造靓丽窗口地区。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强站区环境卫生监督和管理，按照增加清扫密度和做到时时保洁的工作标准，保持好干净整洁的站区卫生环境；积极做好“春、暑”运等重点时期环境服务保障工作；严格落实站区扫雪铲冰工作方案和预案，确保雨雪天气地区道路通畅和旅客出行安全；加强垃圾分类宣传引导和规范运输管理工作；保证公厕设施完好和卫生干净整洁，为旅客提供良好的如厕环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4.不断深化精神文明建设，全力提升地区整体文明形象。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充分发挥站区宣传载体作用，重点开展文明宣传和组织开展主题公益宣传，做好重大节日、重点时期期间的环境氛围布置工作；继续组织开展文明出行、垃圾分类主题公益宣传教育和实践活动；建立地区文明志愿者骨干队伍，加强春暑运等重点时期的专业引导和志愿者服务活动；组织开展文明大讲堂活动，积极营造站区文明和谐氛围。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5.深入抓好管委会自身建设，努力建设旅客满意的服务型政府。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采取辅导讲座、理论知识要点答题等多种形式，紧密联系站区实际和党的群众路线教育实践活动取得的成果，推动学习贯彻走向深入，促进全会精神转化到实际工作中来；落实好党组理论学习中心组学习制度，加强效能监察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市重点站区管委会部门整体绩效目标设定与部门工作重点相关，工作部门与部门工作任务相匹配，绩效目标设定比较合理。</w:t>
      </w:r>
    </w:p>
    <w:p>
      <w:pPr>
        <w:spacing w:line="600" w:lineRule="exact"/>
        <w:ind w:firstLine="640" w:firstLineChars="200"/>
        <w:outlineLvl w:val="0"/>
        <w:rPr>
          <w:rFonts w:ascii="黑体" w:hAnsi="黑体" w:eastAsia="黑体" w:cs="宋体"/>
          <w:color w:val="000000"/>
          <w:kern w:val="0"/>
          <w:sz w:val="32"/>
          <w:szCs w:val="32"/>
        </w:rPr>
      </w:pPr>
      <w:bookmarkStart w:id="11" w:name="_Toc21403"/>
      <w:bookmarkStart w:id="12" w:name="_Toc21322"/>
      <w:bookmarkStart w:id="13" w:name="_Toc16367"/>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bookmarkEnd w:id="11"/>
      <w:bookmarkEnd w:id="12"/>
      <w:bookmarkEnd w:id="13"/>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w:t>
      </w:r>
      <w:r>
        <w:rPr>
          <w:rFonts w:hint="eastAsia" w:ascii="仿宋_GB2312" w:hAnsi="宋体" w:eastAsia="仿宋_GB2312" w:cs="宋体"/>
          <w:color w:val="000000"/>
          <w:kern w:val="0"/>
          <w:sz w:val="32"/>
          <w:szCs w:val="32"/>
          <w:lang w:val="en-US" w:eastAsia="zh-CN"/>
        </w:rPr>
        <w:t>23</w:t>
      </w:r>
      <w:r>
        <w:rPr>
          <w:rFonts w:hint="eastAsia" w:ascii="仿宋_GB2312" w:hAnsi="宋体" w:eastAsia="仿宋_GB2312" w:cs="宋体"/>
          <w:color w:val="000000"/>
          <w:kern w:val="0"/>
          <w:sz w:val="32"/>
          <w:szCs w:val="32"/>
        </w:rPr>
        <w:t>年</w:t>
      </w:r>
      <w:r>
        <w:rPr>
          <w:rFonts w:hint="eastAsia" w:ascii="仿宋_GB2312" w:hAnsi="宋体" w:eastAsia="仿宋_GB2312" w:cs="宋体"/>
          <w:color w:val="000000"/>
          <w:kern w:val="0"/>
          <w:sz w:val="32"/>
          <w:szCs w:val="32"/>
          <w:lang w:val="en-US" w:eastAsia="zh-CN"/>
        </w:rPr>
        <w:t>年初</w:t>
      </w:r>
      <w:r>
        <w:rPr>
          <w:rFonts w:hint="eastAsia" w:ascii="仿宋_GB2312" w:hAnsi="宋体" w:eastAsia="仿宋_GB2312" w:cs="宋体"/>
          <w:color w:val="000000"/>
          <w:kern w:val="0"/>
          <w:sz w:val="32"/>
          <w:szCs w:val="32"/>
        </w:rPr>
        <w:t>预算数59,438.46万元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rPr>
        <w:t>22,593.39</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 xml:space="preserve">项目支出预算数36,845.07 </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支出57,229.62</w:t>
      </w:r>
      <w:r>
        <w:rPr>
          <w:rFonts w:ascii="仿宋_GB2312" w:hAnsi="宋体" w:eastAsia="仿宋_GB2312" w:cs="宋体"/>
          <w:color w:val="000000"/>
          <w:kern w:val="0"/>
          <w:sz w:val="32"/>
          <w:szCs w:val="32"/>
        </w:rPr>
        <w:t>万元，其中，基本支出</w:t>
      </w:r>
      <w:r>
        <w:rPr>
          <w:rFonts w:hint="eastAsia" w:ascii="仿宋_GB2312" w:hAnsi="宋体" w:eastAsia="仿宋_GB2312" w:cs="宋体"/>
          <w:color w:val="000000"/>
          <w:kern w:val="0"/>
          <w:sz w:val="32"/>
          <w:szCs w:val="32"/>
        </w:rPr>
        <w:t>23,988.76</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 xml:space="preserve">支出33,240.86 </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s="宋体"/>
          <w:color w:val="000000"/>
          <w:kern w:val="0"/>
          <w:sz w:val="32"/>
          <w:szCs w:val="32"/>
          <w:lang w:val="en-US" w:eastAsia="zh-CN"/>
        </w:rPr>
        <w:t>96.28</w:t>
      </w:r>
      <w:r>
        <w:rPr>
          <w:rFonts w:hint="eastAsia" w:ascii="仿宋_GB2312" w:hAnsi="宋体" w:eastAsia="仿宋_GB2312" w:cs="宋体"/>
          <w:color w:val="000000"/>
          <w:kern w:val="0"/>
          <w:sz w:val="32"/>
          <w:szCs w:val="32"/>
        </w:rPr>
        <w:t>%。</w:t>
      </w:r>
    </w:p>
    <w:p>
      <w:pPr>
        <w:spacing w:line="600" w:lineRule="exact"/>
        <w:ind w:left="105" w:leftChars="50" w:firstLine="480" w:firstLineChars="150"/>
        <w:outlineLvl w:val="0"/>
        <w:rPr>
          <w:rFonts w:hint="eastAsia" w:ascii="黑体" w:hAnsi="黑体" w:eastAsia="黑体" w:cs="宋体"/>
          <w:color w:val="000000"/>
          <w:kern w:val="0"/>
          <w:sz w:val="32"/>
          <w:szCs w:val="32"/>
          <w:lang w:val="en-US" w:eastAsia="zh-CN"/>
        </w:rPr>
      </w:pPr>
      <w:bookmarkStart w:id="14" w:name="_Toc20976"/>
      <w:bookmarkStart w:id="15" w:name="_Toc30275"/>
      <w:bookmarkStart w:id="16" w:name="_Toc18076"/>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14"/>
      <w:bookmarkEnd w:id="15"/>
      <w:bookmarkEnd w:id="16"/>
    </w:p>
    <w:p>
      <w:pPr>
        <w:spacing w:line="600" w:lineRule="exact"/>
        <w:ind w:left="105" w:leftChars="50" w:firstLine="480" w:firstLineChars="150"/>
        <w:outlineLvl w:val="1"/>
        <w:rPr>
          <w:rFonts w:ascii="楷体_GB2312" w:eastAsia="楷体_GB2312"/>
          <w:sz w:val="32"/>
          <w:szCs w:val="32"/>
        </w:rPr>
      </w:pPr>
      <w:bookmarkStart w:id="17" w:name="_Toc16816"/>
      <w:bookmarkStart w:id="18" w:name="_Toc15033"/>
      <w:bookmarkStart w:id="19" w:name="_Toc17108"/>
      <w:r>
        <w:rPr>
          <w:rFonts w:hint="eastAsia" w:ascii="楷体_GB2312" w:eastAsia="楷体_GB2312"/>
          <w:sz w:val="32"/>
          <w:szCs w:val="32"/>
        </w:rPr>
        <w:t>（一）产出完成情况分析</w:t>
      </w:r>
      <w:bookmarkEnd w:id="17"/>
      <w:bookmarkEnd w:id="18"/>
      <w:bookmarkEnd w:id="19"/>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该项指标分值10.00分，实际得分</w:t>
      </w:r>
      <w:r>
        <w:rPr>
          <w:rFonts w:hint="eastAsia" w:ascii="仿宋_GB2312" w:hAnsi="宋体" w:eastAsia="仿宋_GB2312" w:cs="宋体"/>
          <w:color w:val="000000"/>
          <w:kern w:val="0"/>
          <w:sz w:val="32"/>
          <w:szCs w:val="32"/>
          <w:lang w:val="en-US" w:eastAsia="zh-CN"/>
        </w:rPr>
        <w:t>9.29</w:t>
      </w:r>
      <w:r>
        <w:rPr>
          <w:rFonts w:hint="eastAsia" w:ascii="仿宋_GB2312" w:hAnsi="宋体" w:eastAsia="仿宋_GB2312" w:cs="宋体"/>
          <w:color w:val="000000"/>
          <w:kern w:val="0"/>
          <w:sz w:val="32"/>
          <w:szCs w:val="32"/>
        </w:rPr>
        <w:t>分。市重点站区管委会2022年度申报预算项目</w:t>
      </w:r>
      <w:r>
        <w:rPr>
          <w:rFonts w:hint="eastAsia" w:ascii="仿宋_GB2312" w:hAnsi="宋体" w:eastAsia="仿宋_GB2312" w:cs="宋体"/>
          <w:color w:val="000000"/>
          <w:kern w:val="0"/>
          <w:sz w:val="32"/>
          <w:szCs w:val="32"/>
          <w:lang w:val="en-US" w:eastAsia="zh-CN"/>
        </w:rPr>
        <w:t>14</w:t>
      </w:r>
      <w:r>
        <w:rPr>
          <w:rFonts w:hint="eastAsia" w:ascii="仿宋_GB2312" w:hAnsi="宋体" w:eastAsia="仿宋_GB2312" w:cs="宋体"/>
          <w:color w:val="000000"/>
          <w:kern w:val="0"/>
          <w:sz w:val="32"/>
          <w:szCs w:val="32"/>
        </w:rPr>
        <w:t>个，其中</w:t>
      </w:r>
      <w:r>
        <w:rPr>
          <w:rFonts w:hint="eastAsia" w:ascii="仿宋_GB2312" w:hAnsi="宋体" w:eastAsia="仿宋_GB2312" w:cs="宋体"/>
          <w:color w:val="000000"/>
          <w:kern w:val="0"/>
          <w:sz w:val="32"/>
          <w:szCs w:val="32"/>
          <w:lang w:val="en-US" w:eastAsia="zh-CN"/>
        </w:rPr>
        <w:t>12</w:t>
      </w:r>
      <w:r>
        <w:rPr>
          <w:rFonts w:hint="eastAsia" w:ascii="仿宋_GB2312" w:hAnsi="宋体" w:eastAsia="仿宋_GB2312" w:cs="宋体"/>
          <w:color w:val="000000"/>
          <w:kern w:val="0"/>
          <w:sz w:val="32"/>
          <w:szCs w:val="32"/>
        </w:rPr>
        <w:t>个项目按计划完成，实现了预期产出目标。具体分析如下：</w:t>
      </w:r>
    </w:p>
    <w:p>
      <w:pPr>
        <w:numPr>
          <w:ilvl w:val="0"/>
          <w:numId w:val="1"/>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按照202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年公务车更新购置计划，完成购置北汽新能源汽车一辆。</w:t>
      </w:r>
    </w:p>
    <w:p>
      <w:pPr>
        <w:numPr>
          <w:ilvl w:val="0"/>
          <w:numId w:val="1"/>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完成202</w:t>
      </w:r>
      <w:r>
        <w:rPr>
          <w:rFonts w:hint="eastAsia" w:ascii="仿宋_GB2312" w:hAnsi="宋体" w:eastAsia="仿宋_GB2312" w:cs="宋体"/>
          <w:color w:val="000000"/>
          <w:kern w:val="0"/>
          <w:sz w:val="32"/>
          <w:szCs w:val="32"/>
          <w:lang w:val="en-US" w:eastAsia="zh-CN"/>
        </w:rPr>
        <w:t>3课题</w:t>
      </w:r>
      <w:r>
        <w:rPr>
          <w:rFonts w:hint="eastAsia" w:ascii="仿宋_GB2312" w:hAnsi="宋体" w:eastAsia="仿宋_GB2312" w:cs="宋体"/>
          <w:color w:val="000000"/>
          <w:kern w:val="0"/>
          <w:sz w:val="32"/>
          <w:szCs w:val="32"/>
        </w:rPr>
        <w:t>研究类项目</w:t>
      </w:r>
      <w:r>
        <w:rPr>
          <w:rFonts w:hint="eastAsia" w:ascii="仿宋_GB2312" w:hAnsi="宋体" w:eastAsia="仿宋_GB2312" w:cs="宋体"/>
          <w:color w:val="000000"/>
          <w:kern w:val="0"/>
          <w:sz w:val="32"/>
          <w:szCs w:val="32"/>
          <w:lang w:eastAsia="zh-CN"/>
        </w:rPr>
        <w:t>，提高重点站区管委会治理水平。</w:t>
      </w:r>
    </w:p>
    <w:p>
      <w:pPr>
        <w:numPr>
          <w:ilvl w:val="0"/>
          <w:numId w:val="1"/>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完成202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年度重点站区法律咨询、财务基础运维、绩效跟踪绩效评价、审计服务等工作。</w:t>
      </w:r>
    </w:p>
    <w:p>
      <w:pPr>
        <w:numPr>
          <w:ilvl w:val="0"/>
          <w:numId w:val="1"/>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完成202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年度北京市重点站区管理委员会机关处室日常管理工作</w:t>
      </w:r>
      <w:r>
        <w:rPr>
          <w:rFonts w:hint="eastAsia" w:ascii="仿宋_GB2312" w:hAnsi="宋体" w:eastAsia="仿宋_GB2312" w:cs="宋体"/>
          <w:color w:val="000000"/>
          <w:kern w:val="0"/>
          <w:sz w:val="32"/>
          <w:szCs w:val="32"/>
          <w:lang w:eastAsia="zh-CN"/>
        </w:rPr>
        <w:t>。</w:t>
      </w:r>
    </w:p>
    <w:p>
      <w:pPr>
        <w:numPr>
          <w:ilvl w:val="0"/>
          <w:numId w:val="1"/>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为保障北京站地区管理办公室、南站地区管理办公室提供日常办公需求，完成</w:t>
      </w:r>
      <w:r>
        <w:rPr>
          <w:rFonts w:hint="eastAsia" w:ascii="仿宋_GB2312" w:hAnsi="宋体" w:eastAsia="仿宋_GB2312" w:cs="宋体"/>
          <w:color w:val="000000"/>
          <w:kern w:val="0"/>
          <w:sz w:val="32"/>
          <w:szCs w:val="32"/>
        </w:rPr>
        <w:t>办公用房租赁类项目</w:t>
      </w:r>
      <w:r>
        <w:rPr>
          <w:rFonts w:hint="eastAsia" w:ascii="仿宋_GB2312" w:hAnsi="宋体" w:eastAsia="仿宋_GB2312" w:cs="宋体"/>
          <w:color w:val="000000"/>
          <w:kern w:val="0"/>
          <w:sz w:val="32"/>
          <w:szCs w:val="32"/>
          <w:lang w:eastAsia="zh-CN"/>
        </w:rPr>
        <w:t>。</w:t>
      </w:r>
    </w:p>
    <w:p>
      <w:pPr>
        <w:numPr>
          <w:ilvl w:val="0"/>
          <w:numId w:val="1"/>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完成西站东西方体加装直梯项目</w:t>
      </w:r>
      <w:r>
        <w:rPr>
          <w:rFonts w:hint="eastAsia" w:ascii="仿宋_GB2312" w:hAnsi="宋体" w:eastAsia="仿宋_GB2312" w:cs="宋体"/>
          <w:color w:val="000000"/>
          <w:kern w:val="0"/>
          <w:sz w:val="32"/>
          <w:szCs w:val="32"/>
          <w:lang w:val="en-US" w:eastAsia="zh-CN"/>
        </w:rPr>
        <w:t>。</w:t>
      </w:r>
    </w:p>
    <w:p>
      <w:pPr>
        <w:numPr>
          <w:ilvl w:val="0"/>
          <w:numId w:val="1"/>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为</w:t>
      </w:r>
      <w:r>
        <w:rPr>
          <w:rFonts w:hint="eastAsia" w:ascii="仿宋_GB2312" w:hAnsi="宋体" w:eastAsia="仿宋_GB2312" w:cs="宋体"/>
          <w:color w:val="000000"/>
          <w:kern w:val="0"/>
          <w:sz w:val="32"/>
          <w:szCs w:val="32"/>
        </w:rPr>
        <w:t>保障城管日常执法工作开展，满足执法业务需求</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完成了城管执法业务经费项目工作。</w:t>
      </w:r>
    </w:p>
    <w:p>
      <w:pPr>
        <w:numPr>
          <w:ilvl w:val="0"/>
          <w:numId w:val="1"/>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购置完成202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年各站区信息系统运维、网络运行线路租用、软件和数据库使用维护、硬件保修维护、安全加固、等级保护测评和密码应用测评、数据、短信、语音线路等</w:t>
      </w:r>
      <w:r>
        <w:rPr>
          <w:rFonts w:hint="eastAsia" w:ascii="仿宋_GB2312" w:hAnsi="宋体" w:eastAsia="仿宋_GB2312" w:cs="宋体"/>
          <w:color w:val="000000"/>
          <w:kern w:val="0"/>
          <w:sz w:val="32"/>
          <w:szCs w:val="32"/>
          <w:lang w:eastAsia="zh-CN"/>
        </w:rPr>
        <w:t>通信费</w:t>
      </w:r>
      <w:r>
        <w:rPr>
          <w:rFonts w:hint="eastAsia" w:ascii="仿宋_GB2312" w:hAnsi="宋体" w:eastAsia="仿宋_GB2312" w:cs="宋体"/>
          <w:color w:val="000000"/>
          <w:kern w:val="0"/>
          <w:sz w:val="32"/>
          <w:szCs w:val="32"/>
        </w:rPr>
        <w:t>、云服务。</w:t>
      </w:r>
    </w:p>
    <w:p>
      <w:pPr>
        <w:numPr>
          <w:ilvl w:val="0"/>
          <w:numId w:val="1"/>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完成北京站办新办公楼装修</w:t>
      </w:r>
      <w:r>
        <w:rPr>
          <w:rFonts w:hint="eastAsia" w:ascii="仿宋_GB2312" w:hAnsi="宋体" w:eastAsia="仿宋_GB2312" w:cs="宋体"/>
          <w:color w:val="000000"/>
          <w:kern w:val="0"/>
          <w:sz w:val="32"/>
          <w:szCs w:val="32"/>
          <w:lang w:val="en-US" w:eastAsia="zh-CN"/>
        </w:rPr>
        <w:t>工作</w:t>
      </w:r>
      <w:r>
        <w:rPr>
          <w:rFonts w:hint="eastAsia" w:ascii="仿宋_GB2312" w:hAnsi="宋体" w:eastAsia="仿宋_GB2312" w:cs="宋体"/>
          <w:color w:val="000000"/>
          <w:kern w:val="0"/>
          <w:sz w:val="32"/>
          <w:szCs w:val="32"/>
        </w:rPr>
        <w:t>，确保了新办公楼正常投入使用。</w:t>
      </w:r>
    </w:p>
    <w:p>
      <w:pPr>
        <w:numPr>
          <w:ilvl w:val="0"/>
          <w:numId w:val="1"/>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完成</w:t>
      </w:r>
      <w:r>
        <w:rPr>
          <w:rFonts w:hint="eastAsia" w:ascii="仿宋_GB2312" w:hAnsi="宋体" w:eastAsia="仿宋_GB2312" w:cs="宋体"/>
          <w:color w:val="000000"/>
          <w:kern w:val="0"/>
          <w:sz w:val="32"/>
          <w:szCs w:val="32"/>
        </w:rPr>
        <w:t>信息化系统新建和升级改造项目</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包含</w:t>
      </w:r>
      <w:r>
        <w:rPr>
          <w:rFonts w:hint="eastAsia" w:ascii="仿宋_GB2312" w:hAnsi="宋体" w:eastAsia="仿宋_GB2312" w:cs="宋体"/>
          <w:color w:val="000000"/>
          <w:kern w:val="0"/>
          <w:sz w:val="32"/>
          <w:szCs w:val="32"/>
        </w:rPr>
        <w:t>北京站办、西站办、南站办、北站办、清河站办、朝阳站办、丰台站办的接入节点设备间、综合布线、网络安全接入、视频会议系统建设</w:t>
      </w:r>
      <w:r>
        <w:rPr>
          <w:rFonts w:hint="eastAsia" w:ascii="仿宋_GB2312" w:hAnsi="宋体" w:eastAsia="仿宋_GB2312" w:cs="宋体"/>
          <w:color w:val="000000"/>
          <w:kern w:val="0"/>
          <w:sz w:val="32"/>
          <w:szCs w:val="32"/>
          <w:lang w:val="en-US" w:eastAsia="zh-CN"/>
        </w:rPr>
        <w:t>等</w:t>
      </w:r>
      <w:r>
        <w:rPr>
          <w:rFonts w:hint="eastAsia" w:ascii="仿宋_GB2312" w:hAnsi="宋体" w:eastAsia="仿宋_GB2312" w:cs="宋体"/>
          <w:color w:val="000000"/>
          <w:kern w:val="0"/>
          <w:sz w:val="32"/>
          <w:szCs w:val="32"/>
        </w:rPr>
        <w:t>。</w:t>
      </w:r>
    </w:p>
    <w:p>
      <w:pPr>
        <w:numPr>
          <w:ilvl w:val="0"/>
          <w:numId w:val="1"/>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京编办事〔2020〕44号《中共北京市委机构编制委员会办公室关于同意设立北京市重点站区综合事务中心有关事项的通知》，设立北京市重点站区综合事务中心，承担本市重点站区管理、服务的辅助性、事务性工作</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完成了</w:t>
      </w:r>
      <w:r>
        <w:rPr>
          <w:rFonts w:hint="eastAsia" w:ascii="仿宋_GB2312" w:hAnsi="宋体" w:eastAsia="仿宋_GB2312" w:cs="宋体"/>
          <w:color w:val="000000"/>
          <w:kern w:val="0"/>
          <w:sz w:val="32"/>
          <w:szCs w:val="32"/>
        </w:rPr>
        <w:t>综合服务保障经费</w:t>
      </w:r>
      <w:r>
        <w:rPr>
          <w:rFonts w:hint="eastAsia" w:ascii="仿宋_GB2312" w:hAnsi="宋体" w:eastAsia="仿宋_GB2312" w:cs="宋体"/>
          <w:color w:val="000000"/>
          <w:kern w:val="0"/>
          <w:sz w:val="32"/>
          <w:szCs w:val="32"/>
          <w:lang w:val="en-US" w:eastAsia="zh-CN"/>
        </w:rPr>
        <w:t>项目工作。</w:t>
      </w:r>
    </w:p>
    <w:p>
      <w:pPr>
        <w:numPr>
          <w:ilvl w:val="0"/>
          <w:numId w:val="1"/>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完成了办公用房租赁类项目工作</w:t>
      </w:r>
      <w:r>
        <w:rPr>
          <w:rFonts w:hint="eastAsia" w:ascii="仿宋_GB2312" w:hAnsi="宋体" w:eastAsia="仿宋_GB2312" w:cs="宋体"/>
          <w:color w:val="000000"/>
          <w:kern w:val="0"/>
          <w:sz w:val="32"/>
          <w:szCs w:val="32"/>
        </w:rPr>
        <w:t>。</w:t>
      </w:r>
    </w:p>
    <w:p>
      <w:pPr>
        <w:spacing w:line="600" w:lineRule="exact"/>
        <w:ind w:left="105" w:leftChars="50" w:firstLine="480" w:firstLineChars="15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 xml:space="preserve"> 市重点站区管委会部门产出数量指标完成情况较好，但“因公出国（境）类项目”受疫情形势</w:t>
      </w:r>
      <w:r>
        <w:rPr>
          <w:rFonts w:hint="eastAsia" w:ascii="仿宋_GB2312" w:hAnsi="宋体" w:eastAsia="仿宋_GB2312" w:cs="宋体"/>
          <w:color w:val="000000"/>
          <w:kern w:val="0"/>
          <w:sz w:val="32"/>
          <w:szCs w:val="32"/>
          <w:lang w:val="en-US" w:eastAsia="zh-CN"/>
        </w:rPr>
        <w:t>影响</w:t>
      </w:r>
      <w:r>
        <w:rPr>
          <w:rFonts w:hint="eastAsia" w:ascii="仿宋_GB2312" w:hAnsi="宋体" w:eastAsia="仿宋_GB2312" w:cs="宋体"/>
          <w:color w:val="000000"/>
          <w:kern w:val="0"/>
          <w:sz w:val="32"/>
          <w:szCs w:val="32"/>
        </w:rPr>
        <w:t>，按照市外办要求，不具备实施条件，未予执行；“重点站区隐患消除项目”因受环境变化等因素影响，未予执行</w:t>
      </w:r>
      <w:r>
        <w:rPr>
          <w:rFonts w:hint="eastAsia" w:ascii="仿宋_GB2312" w:hAnsi="宋体" w:eastAsia="仿宋_GB2312" w:cs="宋体"/>
          <w:color w:val="000000"/>
          <w:kern w:val="0"/>
          <w:sz w:val="32"/>
          <w:szCs w:val="32"/>
          <w:lang w:eastAsia="zh-CN"/>
        </w:rPr>
        <w:t>。</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2.产出</w:t>
      </w:r>
      <w:r>
        <w:rPr>
          <w:rFonts w:ascii="仿宋_GB2312" w:hAnsi="宋体" w:eastAsia="仿宋_GB2312" w:cs="宋体"/>
          <w:color w:val="000000"/>
          <w:kern w:val="0"/>
          <w:sz w:val="32"/>
          <w:szCs w:val="32"/>
        </w:rPr>
        <w:t>质量</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该项指标分值10.00分，实际得分10.00分。市重点站区管委会202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年度完成项目</w:t>
      </w:r>
      <w:r>
        <w:rPr>
          <w:rFonts w:hint="eastAsia" w:ascii="仿宋_GB2312" w:hAnsi="宋体" w:eastAsia="仿宋_GB2312" w:cs="宋体"/>
          <w:color w:val="000000"/>
          <w:kern w:val="0"/>
          <w:sz w:val="32"/>
          <w:szCs w:val="32"/>
          <w:lang w:val="en-US" w:eastAsia="zh-CN"/>
        </w:rPr>
        <w:t>12</w:t>
      </w:r>
      <w:r>
        <w:rPr>
          <w:rFonts w:hint="eastAsia" w:ascii="仿宋_GB2312" w:hAnsi="宋体" w:eastAsia="仿宋_GB2312" w:cs="宋体"/>
          <w:color w:val="000000"/>
          <w:kern w:val="0"/>
          <w:sz w:val="32"/>
          <w:szCs w:val="32"/>
        </w:rPr>
        <w:t>个，均已达到质量要求。市重点站区管委会在项目执行过程中建立了项目日常监管办法，并严格按照单位管理制度执行，项目日常监督管理机制健全，执行严格，项目日常监督管理机制健全有效，产出质量的质量达标率为100%。</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3.产出</w:t>
      </w:r>
      <w:r>
        <w:rPr>
          <w:rFonts w:ascii="仿宋_GB2312" w:hAnsi="宋体" w:eastAsia="仿宋_GB2312" w:cs="宋体"/>
          <w:color w:val="000000"/>
          <w:kern w:val="0"/>
          <w:sz w:val="32"/>
          <w:szCs w:val="32"/>
        </w:rPr>
        <w:t>进度</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该项指标分值5.00分，实际得分5.00分。市重点站区管委会实际完成</w:t>
      </w:r>
      <w:r>
        <w:rPr>
          <w:rFonts w:hint="eastAsia" w:ascii="仿宋_GB2312" w:hAnsi="宋体" w:eastAsia="仿宋_GB2312" w:cs="宋体"/>
          <w:color w:val="000000"/>
          <w:kern w:val="0"/>
          <w:sz w:val="32"/>
          <w:szCs w:val="32"/>
          <w:lang w:val="en-US" w:eastAsia="zh-CN"/>
        </w:rPr>
        <w:t>12</w:t>
      </w:r>
      <w:r>
        <w:rPr>
          <w:rFonts w:hint="eastAsia" w:ascii="仿宋_GB2312" w:hAnsi="宋体" w:eastAsia="仿宋_GB2312" w:cs="宋体"/>
          <w:color w:val="000000"/>
          <w:kern w:val="0"/>
          <w:sz w:val="32"/>
          <w:szCs w:val="32"/>
        </w:rPr>
        <w:t>个项目，已全部按计划进度完成。</w:t>
      </w:r>
    </w:p>
    <w:p>
      <w:pPr>
        <w:spacing w:line="600" w:lineRule="exact"/>
        <w:ind w:left="105" w:leftChars="50" w:firstLine="480" w:firstLineChars="15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该项指标分值5.00分，实际得分</w:t>
      </w:r>
      <w:r>
        <w:rPr>
          <w:rFonts w:hint="eastAsia" w:ascii="仿宋_GB2312" w:hAnsi="宋体" w:eastAsia="仿宋_GB2312" w:cs="宋体"/>
          <w:color w:val="000000"/>
          <w:kern w:val="0"/>
          <w:sz w:val="32"/>
          <w:szCs w:val="32"/>
          <w:lang w:val="en-US" w:eastAsia="zh-CN"/>
        </w:rPr>
        <w:t>4.97</w:t>
      </w:r>
      <w:r>
        <w:rPr>
          <w:rFonts w:hint="eastAsia" w:ascii="仿宋_GB2312" w:hAnsi="宋体" w:eastAsia="仿宋_GB2312" w:cs="宋体"/>
          <w:color w:val="000000"/>
          <w:kern w:val="0"/>
          <w:sz w:val="32"/>
          <w:szCs w:val="32"/>
        </w:rPr>
        <w:t>分。市重点站区管委会202</w:t>
      </w:r>
      <w:r>
        <w:rPr>
          <w:rFonts w:hint="eastAsia" w:ascii="仿宋_GB2312" w:hAnsi="宋体" w:eastAsia="仿宋_GB2312" w:cs="宋体"/>
          <w:color w:val="000000"/>
          <w:kern w:val="0"/>
          <w:sz w:val="32"/>
          <w:szCs w:val="32"/>
          <w:lang w:val="en-US" w:eastAsia="zh-CN"/>
        </w:rPr>
        <w:t>3年度较好的控制了基本支出和项目支出的产出成本</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但</w:t>
      </w:r>
      <w:r>
        <w:rPr>
          <w:rFonts w:hint="eastAsia" w:ascii="仿宋_GB2312" w:hAnsi="宋体" w:eastAsia="仿宋_GB2312" w:cs="宋体"/>
          <w:color w:val="000000"/>
          <w:kern w:val="0"/>
          <w:sz w:val="32"/>
          <w:szCs w:val="32"/>
        </w:rPr>
        <w:t>公用经费控制情况</w:t>
      </w:r>
      <w:r>
        <w:rPr>
          <w:rFonts w:hint="eastAsia" w:ascii="仿宋_GB2312" w:hAnsi="宋体" w:eastAsia="仿宋_GB2312" w:cs="宋体"/>
          <w:color w:val="000000"/>
          <w:kern w:val="0"/>
          <w:sz w:val="32"/>
          <w:szCs w:val="32"/>
          <w:lang w:val="en-US" w:eastAsia="zh-CN"/>
        </w:rPr>
        <w:t>仍有进一步提升的空间</w:t>
      </w:r>
      <w:r>
        <w:rPr>
          <w:rFonts w:hint="eastAsia" w:ascii="仿宋_GB2312" w:hAnsi="宋体" w:eastAsia="仿宋_GB2312" w:cs="宋体"/>
          <w:color w:val="000000"/>
          <w:kern w:val="0"/>
          <w:sz w:val="32"/>
          <w:szCs w:val="32"/>
        </w:rPr>
        <w:t>。</w:t>
      </w:r>
    </w:p>
    <w:p>
      <w:pPr>
        <w:spacing w:line="600" w:lineRule="exact"/>
        <w:ind w:left="105" w:leftChars="50" w:firstLine="480" w:firstLineChars="150"/>
        <w:outlineLvl w:val="1"/>
        <w:rPr>
          <w:rFonts w:ascii="楷体_GB2312" w:eastAsia="楷体_GB2312"/>
          <w:sz w:val="32"/>
          <w:szCs w:val="32"/>
        </w:rPr>
      </w:pPr>
      <w:bookmarkStart w:id="20" w:name="_Toc24627"/>
      <w:bookmarkStart w:id="21" w:name="_Toc5456"/>
      <w:bookmarkStart w:id="22" w:name="_Toc23581"/>
      <w:r>
        <w:rPr>
          <w:rFonts w:hint="eastAsia" w:ascii="楷体_GB2312" w:eastAsia="楷体_GB2312"/>
          <w:sz w:val="32"/>
          <w:szCs w:val="32"/>
        </w:rPr>
        <w:t>（二）效果</w:t>
      </w:r>
      <w:r>
        <w:rPr>
          <w:rFonts w:ascii="楷体_GB2312" w:eastAsia="楷体_GB2312"/>
          <w:sz w:val="32"/>
          <w:szCs w:val="32"/>
        </w:rPr>
        <w:t>实现情况分析</w:t>
      </w:r>
      <w:bookmarkEnd w:id="20"/>
      <w:bookmarkEnd w:id="21"/>
      <w:bookmarkEnd w:id="22"/>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1.社会效益</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该项指标分值10.00分，实际得分8.00分。202</w:t>
      </w:r>
      <w:r>
        <w:rPr>
          <w:rFonts w:hint="eastAsia" w:ascii="仿宋_GB2312" w:hAnsi="宋体" w:eastAsia="仿宋_GB2312" w:cs="宋体"/>
          <w:color w:val="000000"/>
          <w:kern w:val="0"/>
          <w:sz w:val="32"/>
          <w:szCs w:val="32"/>
          <w:lang w:val="en-US" w:eastAsia="zh-CN"/>
        </w:rPr>
        <w:t>3年</w:t>
      </w:r>
      <w:r>
        <w:rPr>
          <w:rFonts w:hint="eastAsia" w:ascii="仿宋_GB2312" w:hAnsi="宋体" w:eastAsia="仿宋_GB2312" w:cs="宋体"/>
          <w:color w:val="000000"/>
          <w:kern w:val="0"/>
          <w:sz w:val="32"/>
          <w:szCs w:val="32"/>
        </w:rPr>
        <w:t>重点站区管委会认真贯彻落实党中央和市委、市政府决策部署，以贯彻落实《关于加强北京市重点站区管理服务工作的意见》为主抓手，高质量推动市级重点任务落地，全面夯实安全稳定基础，各站区全年总体运行平稳。具体社会效益如下：</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一是</w:t>
      </w:r>
      <w:r>
        <w:rPr>
          <w:rFonts w:hint="eastAsia" w:ascii="仿宋_GB2312" w:hAnsi="宋体" w:eastAsia="仿宋_GB2312" w:cs="宋体"/>
          <w:color w:val="000000"/>
          <w:kern w:val="0"/>
          <w:sz w:val="32"/>
          <w:szCs w:val="32"/>
        </w:rPr>
        <w:t>突出思想引领，扎实开展主题教育。做到“规定动作”有成效、“自选动作”有特色，充分凝聚以旅客满意度、站区美誉度、大局贡献度“三度”为中心的理念共识。</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二是</w:t>
      </w:r>
      <w:r>
        <w:rPr>
          <w:rFonts w:hint="eastAsia" w:ascii="仿宋_GB2312" w:hAnsi="宋体" w:eastAsia="仿宋_GB2312" w:cs="宋体"/>
          <w:color w:val="000000"/>
          <w:kern w:val="0"/>
          <w:sz w:val="32"/>
          <w:szCs w:val="32"/>
        </w:rPr>
        <w:t>突出任务牵引，深入推动“七站”优化提升，为服务保障提供高效助力。北京站</w:t>
      </w:r>
      <w:r>
        <w:rPr>
          <w:rFonts w:hint="eastAsia" w:ascii="仿宋_GB2312" w:hAnsi="宋体" w:eastAsia="仿宋_GB2312" w:cs="宋体"/>
          <w:color w:val="000000"/>
          <w:kern w:val="0"/>
          <w:sz w:val="32"/>
          <w:szCs w:val="32"/>
          <w:lang w:val="en-US" w:eastAsia="zh-CN"/>
        </w:rPr>
        <w:t>地区：将北</w:t>
      </w:r>
      <w:r>
        <w:rPr>
          <w:rFonts w:hint="eastAsia" w:ascii="仿宋_GB2312" w:hAnsi="宋体" w:eastAsia="仿宋_GB2312" w:cs="宋体"/>
          <w:color w:val="000000"/>
          <w:kern w:val="0"/>
          <w:sz w:val="32"/>
          <w:szCs w:val="32"/>
        </w:rPr>
        <w:t>京站西侧停车场调整为出租车调度站，推动拆除站前广场临时售票厅，扩容公共通行空间2400余平米</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并</w:t>
      </w:r>
      <w:r>
        <w:rPr>
          <w:rFonts w:hint="eastAsia" w:ascii="仿宋_GB2312" w:hAnsi="宋体" w:eastAsia="仿宋_GB2312" w:cs="宋体"/>
          <w:color w:val="000000"/>
          <w:kern w:val="0"/>
          <w:sz w:val="32"/>
          <w:szCs w:val="32"/>
        </w:rPr>
        <w:t>完成室内售票厅改建启用和东西天桥升级改造，拆除新华社老旧电子屏和违建、隐患设施1900余平米，撤除广场北侧封闭式广告围挡485平米。南站地区</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协调国铁北京局在站内停车场建设1000平米的封闭网约车空调候车区。西站地区</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优化南北广场落客区开口流线，开通北广场直梯。北站地区</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统筹优化网约车接驳服务，建立网约车接送区，优化流线、引导、定位等措施。清河站地区</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推动公交进驻枢纽。朝阳站地区</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协调加快地铁3号线、交通枢纽和周边配套建设，打通姚家园北街、东坝南二街等4条周边路网，优化信号灯配时。丰台站地区</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协调扩充社会车辆停车资源，推动开通东落客平台停车场、释放车位150个。</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三是</w:t>
      </w:r>
      <w:r>
        <w:rPr>
          <w:rFonts w:hint="eastAsia" w:ascii="仿宋_GB2312" w:hAnsi="宋体" w:eastAsia="仿宋_GB2312" w:cs="宋体"/>
          <w:color w:val="000000"/>
          <w:kern w:val="0"/>
          <w:sz w:val="32"/>
          <w:szCs w:val="32"/>
        </w:rPr>
        <w:t>突出体系建设，持续抓好重点时期服务保障。深化落实《关于加强北京市重点站区管理服务工作的意见》，进一步强化和发挥统筹、组织、协调、监督职能定位，以服务保障重点时期、重大活动为牵引，构建完善具有首都特色的站区治理体系。</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四是</w:t>
      </w:r>
      <w:r>
        <w:rPr>
          <w:rFonts w:hint="eastAsia" w:ascii="仿宋_GB2312" w:hAnsi="宋体" w:eastAsia="仿宋_GB2312" w:cs="宋体"/>
          <w:color w:val="000000"/>
          <w:kern w:val="0"/>
          <w:sz w:val="32"/>
          <w:szCs w:val="32"/>
        </w:rPr>
        <w:t>突出底线思维，积极推动问题隐患排查治理。各站区累计出动6801人次开展自查，检查站区单位6679家次，发现隐患846处并完成整改；联合属地消防、城管、公安等开展专项检查，组织专家对259家次站区企业开展隐患排查和风险评估，排查安全问题隐患251项、整改率</w:t>
      </w:r>
      <w:r>
        <w:rPr>
          <w:rFonts w:hint="eastAsia" w:ascii="仿宋_GB2312" w:hAnsi="宋体" w:eastAsia="仿宋_GB2312" w:cs="宋体"/>
          <w:color w:val="000000"/>
          <w:kern w:val="0"/>
          <w:sz w:val="32"/>
          <w:szCs w:val="32"/>
          <w:lang w:val="en-US" w:eastAsia="zh-CN"/>
        </w:rPr>
        <w:t>为</w:t>
      </w:r>
      <w:r>
        <w:rPr>
          <w:rFonts w:hint="eastAsia" w:ascii="仿宋_GB2312" w:hAnsi="宋体" w:eastAsia="仿宋_GB2312" w:cs="宋体"/>
          <w:color w:val="000000"/>
          <w:kern w:val="0"/>
          <w:sz w:val="32"/>
          <w:szCs w:val="32"/>
        </w:rPr>
        <w:t>98.8%，推进违法建设彩钢板房拆除工作，开展检查169次，完成拆除15处819.15</w:t>
      </w:r>
      <w:r>
        <w:rPr>
          <w:rFonts w:hint="eastAsia" w:ascii="仿宋_GB2312" w:hAnsi="宋体" w:eastAsia="仿宋_GB2312" w:cs="宋体"/>
          <w:color w:val="000000"/>
          <w:kern w:val="0"/>
          <w:sz w:val="32"/>
          <w:szCs w:val="32"/>
          <w:lang w:eastAsia="zh-CN"/>
        </w:rPr>
        <w:t>平方</w:t>
      </w:r>
      <w:r>
        <w:rPr>
          <w:rFonts w:hint="eastAsia" w:ascii="仿宋_GB2312" w:hAnsi="宋体" w:eastAsia="仿宋_GB2312" w:cs="宋体"/>
          <w:color w:val="000000"/>
          <w:kern w:val="0"/>
          <w:sz w:val="32"/>
          <w:szCs w:val="32"/>
        </w:rPr>
        <w:t>米，清理库房2500</w:t>
      </w:r>
      <w:r>
        <w:rPr>
          <w:rFonts w:hint="eastAsia" w:ascii="仿宋_GB2312" w:hAnsi="宋体" w:eastAsia="仿宋_GB2312" w:cs="宋体"/>
          <w:color w:val="000000"/>
          <w:kern w:val="0"/>
          <w:sz w:val="32"/>
          <w:szCs w:val="32"/>
          <w:lang w:eastAsia="zh-CN"/>
        </w:rPr>
        <w:t>平方米</w:t>
      </w:r>
      <w:r>
        <w:rPr>
          <w:rFonts w:hint="eastAsia" w:ascii="仿宋_GB2312" w:hAnsi="宋体" w:eastAsia="仿宋_GB2312" w:cs="宋体"/>
          <w:color w:val="000000"/>
          <w:kern w:val="0"/>
          <w:sz w:val="32"/>
          <w:szCs w:val="32"/>
        </w:rPr>
        <w:t>。扎实开展119宣传月活动，结合疏整促工作同步推进隐患排查治理，集中开展施工动火、燃气安全、两个通道、彩钢板建筑等11个专项整治。累计检查单位场所1500余家次，督改突出隐患950处、封停32处、罚款165.2万元</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组织开展志愿者活动、消防宣传活动350场次，组织完成各领域和新入职员工2500余人次的“一警六员”实操实训。</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五是</w:t>
      </w:r>
      <w:r>
        <w:rPr>
          <w:rFonts w:hint="eastAsia" w:ascii="仿宋_GB2312" w:hAnsi="宋体" w:eastAsia="仿宋_GB2312" w:cs="宋体"/>
          <w:color w:val="000000"/>
          <w:kern w:val="0"/>
          <w:sz w:val="32"/>
          <w:szCs w:val="32"/>
        </w:rPr>
        <w:t>突出旅客视角，全面打造出行服务亮点品牌。在西站地区推进公共服务平台试点建设，强化路地联动、设置11处旅客服务中心。丰台站地区建立老年旅客叫车服务网点和出租车调度站“小憩驿站”，扩充360平米网约车候车区、加盖遮阳棚</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完成重点时期重点区域环境整治39项，优化导向标识1200余块，规范治理护栏3100余米，整改城市家具120余处。</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六是</w:t>
      </w:r>
      <w:r>
        <w:rPr>
          <w:rFonts w:hint="eastAsia" w:ascii="仿宋_GB2312" w:hAnsi="宋体" w:eastAsia="仿宋_GB2312" w:cs="宋体"/>
          <w:color w:val="000000"/>
          <w:kern w:val="0"/>
          <w:sz w:val="32"/>
          <w:szCs w:val="32"/>
        </w:rPr>
        <w:t>突出党建引领，努力提高队伍凝聚力战斗力。严密组织25个基层党组织换届选举，组织党组织书记、委员和党建联络员全覆盖培训。在各重点时期、“23.7”暴雨应对等急难险重任务中，基层党组织战斗堡垒和党员先锋模范作用得到充分发挥，为各项中心任务推动完成提供了坚强保证</w:t>
      </w:r>
      <w:r>
        <w:rPr>
          <w:rFonts w:hint="eastAsia" w:ascii="仿宋_GB2312" w:hAnsi="宋体" w:eastAsia="仿宋_GB2312" w:cs="宋体"/>
          <w:color w:val="000000"/>
          <w:kern w:val="0"/>
          <w:sz w:val="32"/>
          <w:szCs w:val="32"/>
          <w:lang w:eastAsia="zh-CN"/>
        </w:rPr>
        <w:t>。</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2.环境效益</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指标分值5.00分，实际得分4.00分。市重点站区管委会通过部门年度工作任务开展，在满足旅客出行的基本前提下，根据站区运行特点，实现站区照明等能源支出绿色环保，控制碳排放。营造干净整洁的候车环境，树立首都窗口良好形象。及时开展垃圾清理清运工作，处理消纳方式符合市城管委相关标准。</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3.可持续</w:t>
      </w:r>
      <w:r>
        <w:rPr>
          <w:rFonts w:ascii="仿宋_GB2312" w:hAnsi="宋体" w:eastAsia="仿宋_GB2312" w:cs="宋体"/>
          <w:color w:val="000000"/>
          <w:kern w:val="0"/>
          <w:sz w:val="32"/>
          <w:szCs w:val="32"/>
        </w:rPr>
        <w:t>性影响</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该项指标分值10.00分，实际得分8.00分。市重点站区管委会重视顶层设计，制定发展规划和工作计划，推动站区服务能力持续提升。一是</w:t>
      </w:r>
      <w:r>
        <w:rPr>
          <w:rFonts w:hint="eastAsia" w:ascii="仿宋_GB2312" w:eastAsia="仿宋_GB2312"/>
          <w:sz w:val="32"/>
          <w:szCs w:val="32"/>
          <w:lang w:val="en-US" w:eastAsia="zh-CN"/>
        </w:rPr>
        <w:t>执行</w:t>
      </w:r>
      <w:r>
        <w:rPr>
          <w:rFonts w:hint="eastAsia" w:ascii="仿宋_GB2312" w:eastAsia="仿宋_GB2312"/>
          <w:sz w:val="32"/>
          <w:szCs w:val="32"/>
        </w:rPr>
        <w:t>站区《重点站区环境建设高质量发展规划</w:t>
      </w:r>
      <w:r>
        <w:rPr>
          <w:rFonts w:hint="eastAsia" w:ascii="仿宋_GB2312" w:eastAsia="仿宋_GB2312"/>
          <w:sz w:val="32"/>
          <w:szCs w:val="32"/>
          <w:lang w:eastAsia="zh-CN"/>
        </w:rPr>
        <w:t>（</w:t>
      </w:r>
      <w:r>
        <w:rPr>
          <w:rFonts w:hint="eastAsia" w:ascii="仿宋_GB2312" w:eastAsia="仿宋_GB2312"/>
          <w:sz w:val="32"/>
          <w:szCs w:val="32"/>
        </w:rPr>
        <w:t>2023</w:t>
      </w:r>
      <w:r>
        <w:rPr>
          <w:rFonts w:hint="eastAsia" w:ascii="仿宋_GB2312" w:eastAsia="仿宋_GB2312"/>
          <w:sz w:val="32"/>
          <w:szCs w:val="32"/>
          <w:lang w:eastAsia="zh-CN"/>
        </w:rPr>
        <w:t>—</w:t>
      </w:r>
      <w:r>
        <w:rPr>
          <w:rFonts w:hint="eastAsia" w:ascii="仿宋_GB2312" w:eastAsia="仿宋_GB2312"/>
          <w:sz w:val="32"/>
          <w:szCs w:val="32"/>
        </w:rPr>
        <w:t>2027年</w:t>
      </w:r>
      <w:r>
        <w:rPr>
          <w:rFonts w:hint="eastAsia" w:ascii="仿宋_GB2312" w:eastAsia="仿宋_GB2312"/>
          <w:sz w:val="32"/>
          <w:szCs w:val="32"/>
          <w:lang w:eastAsia="zh-CN"/>
        </w:rPr>
        <w:t>）》《</w:t>
      </w:r>
      <w:r>
        <w:rPr>
          <w:rFonts w:hint="eastAsia" w:ascii="仿宋_GB2312" w:eastAsia="仿宋_GB2312"/>
          <w:sz w:val="32"/>
          <w:szCs w:val="32"/>
        </w:rPr>
        <w:t>公共场地空间及配套服务设施管理办法</w:t>
      </w:r>
      <w:r>
        <w:rPr>
          <w:rFonts w:hint="eastAsia" w:ascii="仿宋_GB2312" w:eastAsia="仿宋_GB2312"/>
          <w:sz w:val="32"/>
          <w:szCs w:val="32"/>
          <w:lang w:eastAsia="zh-CN"/>
        </w:rPr>
        <w:t>》《</w:t>
      </w:r>
      <w:r>
        <w:rPr>
          <w:rFonts w:hint="eastAsia" w:ascii="仿宋_GB2312" w:eastAsia="仿宋_GB2312"/>
          <w:sz w:val="32"/>
          <w:szCs w:val="32"/>
        </w:rPr>
        <w:t>户外广告街区层面控制性详细规划》</w:t>
      </w:r>
      <w:r>
        <w:rPr>
          <w:rFonts w:hint="eastAsia" w:ascii="仿宋_GB2312" w:eastAsia="仿宋_GB2312"/>
          <w:sz w:val="32"/>
          <w:szCs w:val="32"/>
          <w:lang w:val="en-US" w:eastAsia="zh-CN"/>
        </w:rPr>
        <w:t>等</w:t>
      </w:r>
      <w:r>
        <w:rPr>
          <w:rFonts w:hint="eastAsia" w:ascii="仿宋_GB2312" w:eastAsia="仿宋_GB2312"/>
          <w:sz w:val="32"/>
          <w:szCs w:val="32"/>
        </w:rPr>
        <w:t>管理办法，逐步规范站区环境建设工作。二是有序推进重点站区核心区控规行动计划和疏解整治促提升市级专项行动任务，完成站区市政交通基础设施和城市部件普查；协调督促《重点站区环境整治三年行动计划</w:t>
      </w:r>
      <w:r>
        <w:rPr>
          <w:rFonts w:hint="eastAsia" w:ascii="仿宋_GB2312" w:eastAsia="仿宋_GB2312"/>
          <w:sz w:val="32"/>
          <w:szCs w:val="32"/>
          <w:lang w:eastAsia="zh-CN"/>
        </w:rPr>
        <w:t>（</w:t>
      </w:r>
      <w:r>
        <w:rPr>
          <w:rFonts w:hint="eastAsia" w:ascii="仿宋_GB2312" w:eastAsia="仿宋_GB2312"/>
          <w:sz w:val="32"/>
          <w:szCs w:val="32"/>
        </w:rPr>
        <w:t>2021</w:t>
      </w:r>
      <w:r>
        <w:rPr>
          <w:rFonts w:hint="eastAsia" w:ascii="仿宋_GB2312" w:eastAsia="仿宋_GB2312"/>
          <w:sz w:val="32"/>
          <w:szCs w:val="32"/>
          <w:lang w:eastAsia="zh-CN"/>
        </w:rPr>
        <w:t>—</w:t>
      </w:r>
      <w:r>
        <w:rPr>
          <w:rFonts w:hint="eastAsia" w:ascii="仿宋_GB2312" w:eastAsia="仿宋_GB2312"/>
          <w:sz w:val="32"/>
          <w:szCs w:val="32"/>
        </w:rPr>
        <w:t>2023年</w:t>
      </w:r>
      <w:r>
        <w:rPr>
          <w:rFonts w:hint="eastAsia" w:ascii="仿宋_GB2312" w:eastAsia="仿宋_GB2312"/>
          <w:sz w:val="32"/>
          <w:szCs w:val="32"/>
          <w:lang w:eastAsia="zh-CN"/>
        </w:rPr>
        <w:t>）</w:t>
      </w:r>
      <w:r>
        <w:rPr>
          <w:rFonts w:hint="eastAsia" w:ascii="仿宋_GB2312" w:eastAsia="仿宋_GB2312"/>
          <w:sz w:val="32"/>
          <w:szCs w:val="32"/>
        </w:rPr>
        <w:t>》落地，完成站区安检互认建设工程并投用。</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4.服务对象</w:t>
      </w:r>
      <w:r>
        <w:rPr>
          <w:rFonts w:ascii="仿宋_GB2312" w:hAnsi="宋体" w:eastAsia="仿宋_GB2312" w:cs="宋体"/>
          <w:color w:val="000000"/>
          <w:kern w:val="0"/>
          <w:sz w:val="32"/>
          <w:szCs w:val="32"/>
        </w:rPr>
        <w:t>满意度</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该项指标分值5.00分，实际得分4.00分。202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年度市重点站区管委会共接12345派单5348件、承办2146件，响应率100%、解决率99.63%、满意率99.25%。</w:t>
      </w:r>
    </w:p>
    <w:p>
      <w:pPr>
        <w:spacing w:line="600" w:lineRule="exact"/>
        <w:ind w:left="105" w:leftChars="50" w:firstLine="480" w:firstLineChars="150"/>
        <w:outlineLvl w:val="0"/>
        <w:rPr>
          <w:rFonts w:ascii="黑体" w:hAnsi="黑体" w:eastAsia="黑体" w:cs="宋体"/>
          <w:color w:val="000000"/>
          <w:kern w:val="0"/>
          <w:sz w:val="32"/>
          <w:szCs w:val="32"/>
        </w:rPr>
      </w:pPr>
      <w:bookmarkStart w:id="23" w:name="_Toc16360"/>
      <w:bookmarkStart w:id="24" w:name="_Toc28342"/>
      <w:bookmarkStart w:id="25" w:name="_Toc27235"/>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bookmarkEnd w:id="23"/>
      <w:bookmarkEnd w:id="24"/>
      <w:bookmarkEnd w:id="25"/>
    </w:p>
    <w:p>
      <w:pPr>
        <w:spacing w:line="600" w:lineRule="exact"/>
        <w:ind w:left="105" w:leftChars="50" w:firstLine="480" w:firstLineChars="150"/>
        <w:outlineLvl w:val="1"/>
        <w:rPr>
          <w:rFonts w:ascii="楷体_GB2312" w:eastAsia="楷体_GB2312"/>
          <w:sz w:val="32"/>
          <w:szCs w:val="32"/>
        </w:rPr>
      </w:pPr>
      <w:bookmarkStart w:id="26" w:name="_Toc14888"/>
      <w:bookmarkStart w:id="27" w:name="_Toc11018"/>
      <w:bookmarkStart w:id="28" w:name="_Toc25956"/>
      <w:r>
        <w:rPr>
          <w:rFonts w:hint="eastAsia" w:ascii="楷体_GB2312" w:eastAsia="楷体_GB2312"/>
          <w:sz w:val="32"/>
          <w:szCs w:val="32"/>
        </w:rPr>
        <w:t>（一）财务管理</w:t>
      </w:r>
      <w:bookmarkEnd w:id="26"/>
      <w:bookmarkEnd w:id="27"/>
      <w:bookmarkEnd w:id="28"/>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该项指标分值1.00分，实际得分1.00分。市重点站区管委会建立了《北京市重点站区管理委员会采购管理办法》等7个管理办法的通知（重点站区发〔2021〕9号）、《执法业务类制度汇编</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工作运行类制度汇编》等管理制度文件，部门财务管理制度健全有效。</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w:t>
      </w:r>
      <w:r>
        <w:rPr>
          <w:rFonts w:ascii="仿宋_GB2312" w:hAnsi="宋体" w:eastAsia="仿宋_GB2312" w:cs="宋体"/>
          <w:color w:val="000000"/>
          <w:kern w:val="0"/>
          <w:sz w:val="32"/>
          <w:szCs w:val="32"/>
        </w:rPr>
        <w:t>和安全性</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指标分值2.00分，实际得分2.00分。市重点站区管委会资金使用符合国家财经法规和财务管理制度规定以及有关专项资金管理办法的规定；资金的拨付有完整的审批程序和手续；项目的重大开支经过评估论证；符合部门预算批复的用途；不存在截留、挤占、挪用情况；资金使用符合政府采购的程序和流程；资金使用符合公务卡结算相关制度和规定。</w:t>
      </w:r>
    </w:p>
    <w:p>
      <w:pPr>
        <w:spacing w:line="600" w:lineRule="exact"/>
        <w:ind w:left="105" w:leftChars="50" w:firstLine="480" w:firstLineChars="15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该项指标分值1.00分，实际得分1.00分。部门基础数据信息和会计信息资料真实；基础数据信息和会计信息资料完整；基础数据信息和会计信息资料准确。</w:t>
      </w:r>
    </w:p>
    <w:p>
      <w:pPr>
        <w:spacing w:line="600" w:lineRule="exact"/>
        <w:ind w:left="105" w:leftChars="50" w:firstLine="480" w:firstLineChars="150"/>
        <w:outlineLvl w:val="1"/>
        <w:rPr>
          <w:rFonts w:ascii="楷体_GB2312" w:eastAsia="楷体_GB2312"/>
          <w:sz w:val="32"/>
          <w:szCs w:val="32"/>
        </w:rPr>
      </w:pPr>
      <w:bookmarkStart w:id="29" w:name="_Toc20585"/>
      <w:bookmarkStart w:id="30" w:name="_Toc24063"/>
      <w:bookmarkStart w:id="31" w:name="_Toc9818"/>
      <w:r>
        <w:rPr>
          <w:rFonts w:hint="eastAsia" w:ascii="楷体_GB2312" w:eastAsia="楷体_GB2312"/>
          <w:sz w:val="32"/>
          <w:szCs w:val="32"/>
        </w:rPr>
        <w:t>（二）资产管理</w:t>
      </w:r>
      <w:bookmarkEnd w:id="29"/>
      <w:bookmarkEnd w:id="30"/>
      <w:bookmarkEnd w:id="31"/>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指标分值4.00分，实际得分4.00分。部门未有因管理不当发生严重资产损失和丢失情况；不存在超标准配置资产；资产使用规范，不存在未经批准擅自出租、出借资产行为；资产处置规范，不存在不按要求进行报批或资产不公开处置行为。</w:t>
      </w:r>
    </w:p>
    <w:p>
      <w:pPr>
        <w:spacing w:line="600" w:lineRule="exact"/>
        <w:ind w:left="105" w:leftChars="50" w:firstLine="480" w:firstLineChars="150"/>
        <w:outlineLvl w:val="1"/>
        <w:rPr>
          <w:rFonts w:ascii="楷体_GB2312" w:eastAsia="楷体_GB2312"/>
          <w:sz w:val="32"/>
          <w:szCs w:val="32"/>
        </w:rPr>
      </w:pPr>
      <w:bookmarkStart w:id="32" w:name="_Toc23397"/>
      <w:bookmarkStart w:id="33" w:name="_Toc9017"/>
      <w:bookmarkStart w:id="34" w:name="_Toc30885"/>
      <w:r>
        <w:rPr>
          <w:rFonts w:hint="eastAsia" w:ascii="楷体_GB2312" w:eastAsia="楷体_GB2312"/>
          <w:sz w:val="32"/>
          <w:szCs w:val="32"/>
        </w:rPr>
        <w:t>（三）绩效</w:t>
      </w:r>
      <w:r>
        <w:rPr>
          <w:rFonts w:ascii="楷体_GB2312" w:eastAsia="楷体_GB2312"/>
          <w:sz w:val="32"/>
          <w:szCs w:val="32"/>
        </w:rPr>
        <w:t>管理</w:t>
      </w:r>
      <w:bookmarkEnd w:id="32"/>
      <w:bookmarkEnd w:id="33"/>
      <w:bookmarkEnd w:id="34"/>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该项指标分值4.00分，实际得分4.00分。市重点站区管委会建立了《北京市重点站区管理委员会预算管理办法</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北京市重点站区管理委员会预算绩效评价管理办法</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北京市重点站区管理委员会资产管理办法》，单位绩效管理制度健全。在年度预算执行过程中及时对绩效信息进行汇总分析整理；并在202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年及时开展中期运行监控工作，及时对偏离绩效目标项目进行纠正。</w:t>
      </w:r>
    </w:p>
    <w:p>
      <w:pPr>
        <w:spacing w:line="600" w:lineRule="exact"/>
        <w:ind w:left="105" w:leftChars="50" w:firstLine="480" w:firstLineChars="150"/>
        <w:outlineLvl w:val="1"/>
        <w:rPr>
          <w:rFonts w:ascii="楷体_GB2312" w:eastAsia="楷体_GB2312"/>
          <w:sz w:val="32"/>
          <w:szCs w:val="32"/>
        </w:rPr>
      </w:pPr>
      <w:bookmarkStart w:id="35" w:name="_Toc11332"/>
      <w:bookmarkStart w:id="36" w:name="_Toc7263"/>
      <w:bookmarkStart w:id="37" w:name="_Toc27286"/>
      <w:r>
        <w:rPr>
          <w:rFonts w:hint="eastAsia" w:ascii="楷体_GB2312" w:eastAsia="楷体_GB2312"/>
          <w:sz w:val="32"/>
          <w:szCs w:val="32"/>
        </w:rPr>
        <w:t>（四）结转结余率</w:t>
      </w:r>
      <w:bookmarkEnd w:id="35"/>
      <w:bookmarkEnd w:id="36"/>
      <w:bookmarkEnd w:id="37"/>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该项指标分值4.00分，实际得分4.00分。202</w:t>
      </w: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年度结转结余率为</w:t>
      </w:r>
      <w:r>
        <w:rPr>
          <w:rFonts w:hint="eastAsia" w:ascii="仿宋_GB2312" w:hAnsi="宋体" w:eastAsia="仿宋_GB2312" w:cs="宋体"/>
          <w:color w:val="000000"/>
          <w:kern w:val="0"/>
          <w:sz w:val="32"/>
          <w:szCs w:val="32"/>
          <w:lang w:val="en-US" w:eastAsia="zh-CN"/>
        </w:rPr>
        <w:t>9.71</w:t>
      </w: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年度结转结余率为</w:t>
      </w:r>
      <w:r>
        <w:rPr>
          <w:rFonts w:hint="eastAsia" w:ascii="仿宋_GB2312" w:hAnsi="宋体" w:eastAsia="仿宋_GB2312" w:cs="宋体"/>
          <w:color w:val="000000"/>
          <w:kern w:val="0"/>
          <w:sz w:val="32"/>
          <w:szCs w:val="32"/>
          <w:lang w:val="en-US" w:eastAsia="zh-CN"/>
        </w:rPr>
        <w:t>3.86</w:t>
      </w: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年度结转结余率较上年有所降低。</w:t>
      </w:r>
    </w:p>
    <w:p>
      <w:pPr>
        <w:spacing w:line="600" w:lineRule="exact"/>
        <w:ind w:left="105" w:leftChars="50" w:firstLine="480" w:firstLineChars="150"/>
        <w:outlineLvl w:val="1"/>
        <w:rPr>
          <w:rFonts w:ascii="楷体_GB2312" w:eastAsia="楷体_GB2312"/>
          <w:sz w:val="32"/>
          <w:szCs w:val="32"/>
        </w:rPr>
      </w:pPr>
      <w:bookmarkStart w:id="38" w:name="_Toc5471"/>
      <w:bookmarkStart w:id="39" w:name="_Toc2122"/>
      <w:bookmarkStart w:id="40" w:name="_Toc925"/>
      <w:r>
        <w:rPr>
          <w:rFonts w:hint="eastAsia" w:ascii="楷体_GB2312" w:eastAsia="楷体_GB2312"/>
          <w:sz w:val="32"/>
          <w:szCs w:val="32"/>
        </w:rPr>
        <w:t>（五）部门</w:t>
      </w:r>
      <w:r>
        <w:rPr>
          <w:rFonts w:ascii="楷体_GB2312" w:eastAsia="楷体_GB2312"/>
          <w:sz w:val="32"/>
          <w:szCs w:val="32"/>
        </w:rPr>
        <w:t>预决算差异率</w:t>
      </w:r>
      <w:bookmarkEnd w:id="38"/>
      <w:bookmarkEnd w:id="39"/>
      <w:bookmarkEnd w:id="40"/>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该项指标分值4.00分，实际得分4.00分。2022年度，市重点站区管委202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w:t>
      </w:r>
      <w:r>
        <w:rPr>
          <w:rFonts w:hint="eastAsia" w:ascii="仿宋_GB2312" w:hAnsi="宋体" w:eastAsia="仿宋_GB2312" w:cs="宋体"/>
          <w:color w:val="000000"/>
          <w:kern w:val="0"/>
          <w:sz w:val="32"/>
          <w:szCs w:val="32"/>
          <w:lang w:val="en-US" w:eastAsia="zh-CN"/>
        </w:rPr>
        <w:t>年初</w:t>
      </w:r>
      <w:r>
        <w:rPr>
          <w:rFonts w:hint="eastAsia" w:ascii="仿宋_GB2312" w:hAnsi="宋体" w:eastAsia="仿宋_GB2312" w:cs="宋体"/>
          <w:color w:val="000000"/>
          <w:kern w:val="0"/>
          <w:sz w:val="32"/>
          <w:szCs w:val="32"/>
        </w:rPr>
        <w:t>支出预算数59,438.46万元，支出决算数57,229.62万元，预决算差异金额</w:t>
      </w:r>
      <w:r>
        <w:rPr>
          <w:rFonts w:hint="eastAsia" w:ascii="仿宋_GB2312" w:hAnsi="宋体" w:eastAsia="仿宋_GB2312" w:cs="宋体"/>
          <w:color w:val="000000"/>
          <w:kern w:val="0"/>
          <w:sz w:val="32"/>
          <w:szCs w:val="32"/>
          <w:lang w:val="en-US" w:eastAsia="zh-CN"/>
        </w:rPr>
        <w:t>2,208.84</w:t>
      </w:r>
      <w:r>
        <w:rPr>
          <w:rFonts w:hint="eastAsia" w:ascii="仿宋_GB2312" w:hAnsi="宋体" w:eastAsia="仿宋_GB2312" w:cs="宋体"/>
          <w:color w:val="000000"/>
          <w:kern w:val="0"/>
          <w:sz w:val="32"/>
          <w:szCs w:val="32"/>
        </w:rPr>
        <w:t>万元，预决算差异率</w:t>
      </w:r>
      <w:r>
        <w:rPr>
          <w:rFonts w:hint="eastAsia" w:ascii="仿宋_GB2312" w:hAnsi="宋体" w:eastAsia="仿宋_GB2312" w:cs="宋体"/>
          <w:color w:val="000000"/>
          <w:kern w:val="0"/>
          <w:sz w:val="32"/>
          <w:szCs w:val="32"/>
          <w:lang w:val="en-US" w:eastAsia="zh-CN"/>
        </w:rPr>
        <w:t>为3.72</w:t>
      </w:r>
      <w:r>
        <w:rPr>
          <w:rFonts w:hint="eastAsia" w:ascii="仿宋_GB2312" w:hAnsi="宋体" w:eastAsia="仿宋_GB2312" w:cs="宋体"/>
          <w:color w:val="000000"/>
          <w:kern w:val="0"/>
          <w:sz w:val="32"/>
          <w:szCs w:val="32"/>
        </w:rPr>
        <w:t>%，低于北京市28.3%的平均水平。</w:t>
      </w:r>
    </w:p>
    <w:p>
      <w:pPr>
        <w:spacing w:line="600" w:lineRule="exact"/>
        <w:ind w:left="105" w:leftChars="50" w:firstLine="480" w:firstLineChars="150"/>
        <w:outlineLvl w:val="0"/>
        <w:rPr>
          <w:rFonts w:ascii="黑体" w:hAnsi="黑体" w:eastAsia="黑体"/>
          <w:sz w:val="32"/>
          <w:szCs w:val="32"/>
        </w:rPr>
      </w:pPr>
      <w:bookmarkStart w:id="41" w:name="_Toc974"/>
      <w:bookmarkStart w:id="42" w:name="_Toc31306"/>
      <w:bookmarkStart w:id="43" w:name="_Toc3668"/>
      <w:r>
        <w:rPr>
          <w:rFonts w:hint="eastAsia" w:ascii="黑体" w:hAnsi="黑体" w:eastAsia="黑体"/>
          <w:sz w:val="32"/>
          <w:szCs w:val="32"/>
        </w:rPr>
        <w:t>五、总体</w:t>
      </w:r>
      <w:r>
        <w:rPr>
          <w:rFonts w:ascii="黑体" w:hAnsi="黑体" w:eastAsia="黑体"/>
          <w:sz w:val="32"/>
          <w:szCs w:val="32"/>
        </w:rPr>
        <w:t>评价结论</w:t>
      </w:r>
      <w:bookmarkEnd w:id="41"/>
      <w:bookmarkEnd w:id="42"/>
      <w:bookmarkEnd w:id="43"/>
    </w:p>
    <w:p>
      <w:pPr>
        <w:spacing w:line="600" w:lineRule="exact"/>
        <w:ind w:left="105" w:leftChars="50" w:firstLine="480" w:firstLineChars="150"/>
        <w:outlineLvl w:val="1"/>
        <w:rPr>
          <w:rFonts w:ascii="楷体_GB2312" w:eastAsia="楷体_GB2312"/>
          <w:sz w:val="32"/>
          <w:szCs w:val="32"/>
        </w:rPr>
      </w:pPr>
      <w:bookmarkStart w:id="44" w:name="_Toc22514"/>
      <w:bookmarkStart w:id="45" w:name="_Toc31780"/>
      <w:bookmarkStart w:id="46" w:name="_Toc17866"/>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bookmarkEnd w:id="44"/>
      <w:bookmarkEnd w:id="45"/>
      <w:bookmarkEnd w:id="46"/>
    </w:p>
    <w:p>
      <w:pPr>
        <w:spacing w:line="600" w:lineRule="exact"/>
        <w:ind w:left="105" w:leftChars="50" w:firstLine="480" w:firstLineChars="150"/>
        <w:rPr>
          <w:rFonts w:ascii="楷体_GB2312" w:eastAsia="楷体_GB2312"/>
          <w:sz w:val="32"/>
          <w:szCs w:val="32"/>
        </w:rPr>
      </w:pPr>
      <w:r>
        <w:rPr>
          <w:rFonts w:hint="eastAsia" w:ascii="仿宋_GB2312" w:hAnsi="宋体" w:eastAsia="仿宋_GB2312" w:cs="宋体"/>
          <w:color w:val="000000"/>
          <w:kern w:val="0"/>
          <w:sz w:val="32"/>
          <w:szCs w:val="32"/>
        </w:rPr>
        <w:t>北京市重点站区管理委员会202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年部门整体评价得分92.</w:t>
      </w:r>
      <w:r>
        <w:rPr>
          <w:rFonts w:hint="eastAsia" w:ascii="仿宋_GB2312" w:hAnsi="宋体" w:eastAsia="仿宋_GB2312" w:cs="宋体"/>
          <w:color w:val="000000"/>
          <w:kern w:val="0"/>
          <w:sz w:val="32"/>
          <w:szCs w:val="32"/>
          <w:lang w:val="en-US" w:eastAsia="zh-CN"/>
        </w:rPr>
        <w:t>52</w:t>
      </w:r>
      <w:r>
        <w:rPr>
          <w:rFonts w:hint="eastAsia" w:ascii="仿宋_GB2312" w:hAnsi="宋体" w:eastAsia="仿宋_GB2312" w:cs="宋体"/>
          <w:color w:val="000000"/>
          <w:kern w:val="0"/>
          <w:sz w:val="32"/>
          <w:szCs w:val="32"/>
        </w:rPr>
        <w:t>分，其中当年预算执行情况得分</w:t>
      </w:r>
      <w:r>
        <w:rPr>
          <w:rFonts w:hint="eastAsia" w:ascii="仿宋_GB2312" w:hAnsi="宋体" w:eastAsia="仿宋_GB2312" w:cs="宋体"/>
          <w:color w:val="000000"/>
          <w:kern w:val="0"/>
          <w:sz w:val="32"/>
          <w:szCs w:val="32"/>
          <w:lang w:val="en-US" w:eastAsia="zh-CN"/>
        </w:rPr>
        <w:t>19.26</w:t>
      </w:r>
      <w:r>
        <w:rPr>
          <w:rFonts w:hint="eastAsia" w:ascii="仿宋_GB2312" w:hAnsi="宋体" w:eastAsia="仿宋_GB2312" w:cs="宋体"/>
          <w:color w:val="000000"/>
          <w:kern w:val="0"/>
          <w:sz w:val="32"/>
          <w:szCs w:val="32"/>
        </w:rPr>
        <w:t>分，整体绩效目标实现情况得分</w:t>
      </w:r>
      <w:r>
        <w:rPr>
          <w:rFonts w:hint="eastAsia" w:ascii="仿宋_GB2312" w:hAnsi="宋体" w:eastAsia="仿宋_GB2312" w:cs="宋体"/>
          <w:color w:val="000000"/>
          <w:kern w:val="0"/>
          <w:sz w:val="32"/>
          <w:szCs w:val="32"/>
          <w:lang w:val="en-US" w:eastAsia="zh-CN"/>
        </w:rPr>
        <w:t>53.26</w:t>
      </w:r>
      <w:r>
        <w:rPr>
          <w:rFonts w:hint="eastAsia" w:ascii="仿宋_GB2312" w:hAnsi="宋体" w:eastAsia="仿宋_GB2312" w:cs="宋体"/>
          <w:color w:val="000000"/>
          <w:kern w:val="0"/>
          <w:sz w:val="32"/>
          <w:szCs w:val="32"/>
        </w:rPr>
        <w:t>分，预算管理情况得分20.00分，部门整体评价等级为“优”。</w:t>
      </w:r>
    </w:p>
    <w:p>
      <w:pPr>
        <w:spacing w:line="600" w:lineRule="exact"/>
        <w:ind w:left="105" w:leftChars="50" w:firstLine="480" w:firstLineChars="150"/>
        <w:outlineLvl w:val="1"/>
        <w:rPr>
          <w:rFonts w:ascii="楷体_GB2312" w:eastAsia="楷体_GB2312"/>
          <w:sz w:val="32"/>
          <w:szCs w:val="32"/>
        </w:rPr>
      </w:pPr>
      <w:bookmarkStart w:id="47" w:name="_Toc887"/>
      <w:bookmarkStart w:id="48" w:name="_Toc3526"/>
      <w:bookmarkStart w:id="49" w:name="_Toc26401"/>
      <w:r>
        <w:rPr>
          <w:rFonts w:hint="eastAsia" w:ascii="楷体_GB2312" w:eastAsia="楷体_GB2312"/>
          <w:sz w:val="32"/>
          <w:szCs w:val="32"/>
        </w:rPr>
        <w:t>（二）存在的问题及原因分析</w:t>
      </w:r>
      <w:bookmarkEnd w:id="47"/>
      <w:bookmarkEnd w:id="48"/>
      <w:bookmarkEnd w:id="49"/>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1.绩效目标设定科学性仍</w:t>
      </w:r>
      <w:r>
        <w:rPr>
          <w:rFonts w:hint="eastAsia" w:ascii="仿宋_GB2312" w:hAnsi="宋体" w:eastAsia="仿宋_GB2312" w:cs="宋体"/>
          <w:color w:val="000000"/>
          <w:kern w:val="0"/>
          <w:sz w:val="32"/>
          <w:szCs w:val="32"/>
          <w:lang w:val="en-US" w:eastAsia="zh-CN"/>
        </w:rPr>
        <w:t>有待提高</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部门整体支出绩效目标表设定的总体目标比较明确，但具体指标</w:t>
      </w:r>
      <w:r>
        <w:rPr>
          <w:rFonts w:hint="eastAsia" w:ascii="仿宋_GB2312" w:hAnsi="宋体" w:eastAsia="仿宋_GB2312" w:cs="宋体"/>
          <w:color w:val="000000"/>
          <w:kern w:val="0"/>
          <w:sz w:val="32"/>
          <w:szCs w:val="32"/>
          <w:lang w:val="en-US" w:eastAsia="zh-CN"/>
        </w:rPr>
        <w:t>不够细化</w:t>
      </w:r>
      <w:r>
        <w:rPr>
          <w:rFonts w:hint="eastAsia" w:ascii="仿宋_GB2312" w:hAnsi="宋体" w:eastAsia="仿宋_GB2312" w:cs="宋体"/>
          <w:color w:val="000000"/>
          <w:kern w:val="0"/>
          <w:sz w:val="32"/>
          <w:szCs w:val="32"/>
        </w:rPr>
        <w:t>；项目支出绩效目标表的个别指标填报不够</w:t>
      </w:r>
      <w:r>
        <w:rPr>
          <w:rFonts w:hint="eastAsia" w:ascii="仿宋_GB2312" w:hAnsi="宋体" w:eastAsia="仿宋_GB2312" w:cs="宋体"/>
          <w:color w:val="000000"/>
          <w:kern w:val="0"/>
          <w:sz w:val="32"/>
          <w:szCs w:val="32"/>
          <w:lang w:val="en-US" w:eastAsia="zh-CN"/>
        </w:rPr>
        <w:t>具体，如</w:t>
      </w:r>
      <w:r>
        <w:rPr>
          <w:rFonts w:hint="eastAsia" w:ascii="仿宋_GB2312" w:hAnsi="宋体" w:eastAsia="仿宋_GB2312" w:cs="宋体"/>
          <w:color w:val="000000"/>
          <w:kern w:val="0"/>
          <w:sz w:val="32"/>
          <w:szCs w:val="32"/>
        </w:rPr>
        <w:t>产出进度</w:t>
      </w:r>
      <w:r>
        <w:rPr>
          <w:rFonts w:hint="eastAsia" w:ascii="仿宋_GB2312" w:hAnsi="宋体" w:eastAsia="仿宋_GB2312" w:cs="宋体"/>
          <w:color w:val="000000"/>
          <w:kern w:val="0"/>
          <w:sz w:val="32"/>
          <w:szCs w:val="32"/>
          <w:lang w:val="en-US" w:eastAsia="zh-CN"/>
        </w:rPr>
        <w:t>指标为≤12个月，未能对项目的执行进度分阶段提出具体要求</w:t>
      </w:r>
      <w:r>
        <w:rPr>
          <w:rFonts w:hint="eastAsia" w:ascii="仿宋_GB2312" w:hAnsi="宋体" w:eastAsia="仿宋_GB2312" w:cs="宋体"/>
          <w:color w:val="000000"/>
          <w:kern w:val="0"/>
          <w:sz w:val="32"/>
          <w:szCs w:val="32"/>
        </w:rPr>
        <w:t>。</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2.提高预算编制科学性，加强项目过程管理。</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项目预算资金测算依据及过程资料不够完整，</w:t>
      </w:r>
      <w:r>
        <w:rPr>
          <w:rFonts w:hint="eastAsia" w:ascii="仿宋_GB2312" w:hAnsi="宋体" w:eastAsia="仿宋_GB2312" w:cs="宋体"/>
          <w:color w:val="000000"/>
          <w:kern w:val="0"/>
          <w:sz w:val="32"/>
          <w:szCs w:val="32"/>
          <w:lang w:val="en-US" w:eastAsia="zh-CN"/>
        </w:rPr>
        <w:t>缺少对历史数据的梳理、分析、总结</w:t>
      </w:r>
      <w:r>
        <w:rPr>
          <w:rFonts w:hint="eastAsia" w:ascii="仿宋_GB2312" w:hAnsi="宋体" w:eastAsia="仿宋_GB2312" w:cs="宋体"/>
          <w:color w:val="000000"/>
          <w:kern w:val="0"/>
          <w:sz w:val="32"/>
          <w:szCs w:val="32"/>
        </w:rPr>
        <w:t>。项目实施过程需</w:t>
      </w:r>
      <w:r>
        <w:rPr>
          <w:rFonts w:hint="eastAsia" w:ascii="仿宋_GB2312" w:hAnsi="宋体" w:eastAsia="仿宋_GB2312" w:cs="宋体"/>
          <w:color w:val="000000"/>
          <w:kern w:val="0"/>
          <w:sz w:val="32"/>
          <w:szCs w:val="32"/>
          <w:lang w:val="en-US" w:eastAsia="zh-CN"/>
        </w:rPr>
        <w:t>细化</w:t>
      </w:r>
      <w:r>
        <w:rPr>
          <w:rFonts w:hint="eastAsia" w:ascii="仿宋_GB2312" w:hAnsi="宋体" w:eastAsia="仿宋_GB2312" w:cs="宋体"/>
          <w:color w:val="000000"/>
          <w:kern w:val="0"/>
          <w:sz w:val="32"/>
          <w:szCs w:val="32"/>
        </w:rPr>
        <w:t>实施方案，加强项目具体实施过程中申请、审批、验收、考核各环节的资料收集。</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3.绩效成果展现</w:t>
      </w:r>
      <w:r>
        <w:rPr>
          <w:rFonts w:hint="eastAsia" w:ascii="仿宋_GB2312" w:hAnsi="宋体" w:eastAsia="仿宋_GB2312" w:cs="宋体"/>
          <w:color w:val="000000"/>
          <w:kern w:val="0"/>
          <w:sz w:val="32"/>
          <w:szCs w:val="32"/>
          <w:lang w:val="en-US" w:eastAsia="zh-CN"/>
        </w:rPr>
        <w:t>不足</w:t>
      </w:r>
    </w:p>
    <w:p>
      <w:pPr>
        <w:spacing w:line="600" w:lineRule="exact"/>
        <w:ind w:firstLine="640" w:firstLineChars="200"/>
        <w:outlineLvl w:val="9"/>
        <w:rPr>
          <w:rFonts w:ascii="仿宋_GB2312" w:hAnsi="宋体" w:eastAsia="仿宋_GB2312" w:cs="宋体"/>
          <w:color w:val="000000"/>
          <w:kern w:val="0"/>
          <w:sz w:val="32"/>
          <w:szCs w:val="32"/>
        </w:rPr>
      </w:pPr>
      <w:bookmarkStart w:id="50" w:name="_Toc19242"/>
      <w:bookmarkStart w:id="51" w:name="_Toc18828"/>
      <w:r>
        <w:rPr>
          <w:rFonts w:hint="eastAsia" w:ascii="仿宋_GB2312" w:hAnsi="宋体" w:eastAsia="仿宋_GB2312" w:cs="宋体"/>
          <w:color w:val="000000"/>
          <w:kern w:val="0"/>
          <w:sz w:val="32"/>
          <w:szCs w:val="32"/>
        </w:rPr>
        <w:t>项目绩效成果展现不够充分，归集</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分析</w:t>
      </w:r>
      <w:r>
        <w:rPr>
          <w:rFonts w:hint="eastAsia" w:ascii="仿宋_GB2312" w:hAnsi="宋体" w:eastAsia="仿宋_GB2312" w:cs="宋体"/>
          <w:color w:val="000000"/>
          <w:kern w:val="0"/>
          <w:sz w:val="32"/>
          <w:szCs w:val="32"/>
        </w:rPr>
        <w:t>项目绩效资料的意识有待进一步</w:t>
      </w:r>
      <w:r>
        <w:rPr>
          <w:rFonts w:hint="eastAsia" w:ascii="仿宋_GB2312" w:hAnsi="宋体" w:eastAsia="仿宋_GB2312" w:cs="宋体"/>
          <w:color w:val="000000"/>
          <w:kern w:val="0"/>
          <w:sz w:val="32"/>
          <w:szCs w:val="32"/>
          <w:lang w:val="en-US" w:eastAsia="zh-CN"/>
        </w:rPr>
        <w:t>强化</w:t>
      </w:r>
      <w:r>
        <w:rPr>
          <w:rFonts w:hint="eastAsia" w:ascii="仿宋_GB2312" w:hAnsi="宋体" w:eastAsia="仿宋_GB2312" w:cs="宋体"/>
          <w:color w:val="000000"/>
          <w:kern w:val="0"/>
          <w:sz w:val="32"/>
          <w:szCs w:val="32"/>
        </w:rPr>
        <w:t>。</w:t>
      </w:r>
      <w:bookmarkEnd w:id="50"/>
    </w:p>
    <w:p>
      <w:pPr>
        <w:spacing w:line="600" w:lineRule="exact"/>
        <w:ind w:firstLine="640" w:firstLineChars="200"/>
        <w:outlineLvl w:val="0"/>
        <w:rPr>
          <w:rFonts w:ascii="仿宋_GB2312" w:hAnsi="宋体" w:eastAsia="仿宋_GB2312" w:cs="宋体"/>
          <w:color w:val="000000"/>
          <w:kern w:val="0"/>
          <w:sz w:val="32"/>
          <w:szCs w:val="32"/>
        </w:rPr>
      </w:pPr>
      <w:bookmarkStart w:id="52" w:name="_Toc29093"/>
      <w:bookmarkStart w:id="53" w:name="_Toc6386"/>
      <w:r>
        <w:rPr>
          <w:rFonts w:hint="eastAsia" w:ascii="黑体" w:hAnsi="黑体" w:eastAsia="黑体" w:cs="宋体"/>
          <w:color w:val="000000"/>
          <w:kern w:val="0"/>
          <w:sz w:val="32"/>
          <w:szCs w:val="32"/>
        </w:rPr>
        <w:t>六、措施建议</w:t>
      </w:r>
      <w:bookmarkEnd w:id="51"/>
      <w:bookmarkEnd w:id="52"/>
      <w:bookmarkEnd w:id="53"/>
    </w:p>
    <w:p>
      <w:pPr>
        <w:spacing w:line="600" w:lineRule="exact"/>
        <w:ind w:left="105" w:leftChars="50" w:firstLine="480" w:firstLineChars="15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（一）按照预算绩效管理要求，</w:t>
      </w:r>
      <w:r>
        <w:rPr>
          <w:rFonts w:hint="eastAsia" w:eastAsia="仿宋_GB2312"/>
          <w:kern w:val="0"/>
          <w:sz w:val="32"/>
          <w:szCs w:val="32"/>
        </w:rPr>
        <w:t>结合</w:t>
      </w:r>
      <w:r>
        <w:rPr>
          <w:rFonts w:hint="eastAsia" w:eastAsia="仿宋_GB2312"/>
          <w:kern w:val="0"/>
          <w:sz w:val="32"/>
          <w:szCs w:val="32"/>
          <w:lang w:val="en-US" w:eastAsia="zh-CN"/>
        </w:rPr>
        <w:t>绩效总目标的要求，细化绩效指标值，</w:t>
      </w:r>
      <w:r>
        <w:rPr>
          <w:rFonts w:hint="eastAsia" w:ascii="Times New Roman" w:hAnsi="Times New Roman" w:eastAsia="仿宋_GB2312" w:cs="Times New Roman"/>
          <w:i w:val="0"/>
          <w:iCs w:val="0"/>
          <w:caps w:val="0"/>
          <w:spacing w:val="0"/>
          <w:kern w:val="0"/>
          <w:sz w:val="32"/>
          <w:szCs w:val="32"/>
          <w:shd w:val="clear"/>
        </w:rPr>
        <w:t>切实提高资金使用效益，</w:t>
      </w:r>
      <w:r>
        <w:rPr>
          <w:rFonts w:eastAsia="仿宋_GB2312"/>
          <w:kern w:val="0"/>
          <w:sz w:val="32"/>
          <w:szCs w:val="32"/>
        </w:rPr>
        <w:t>强化预算绩效意识</w:t>
      </w:r>
      <w:r>
        <w:rPr>
          <w:rFonts w:hint="eastAsia" w:eastAsia="仿宋_GB2312"/>
          <w:kern w:val="0"/>
          <w:sz w:val="32"/>
          <w:szCs w:val="32"/>
          <w:lang w:eastAsia="zh-CN"/>
        </w:rPr>
        <w:t>。</w:t>
      </w:r>
    </w:p>
    <w:p>
      <w:pPr>
        <w:spacing w:line="600" w:lineRule="exact"/>
        <w:ind w:left="105" w:leftChars="50" w:firstLine="480" w:firstLineChars="15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（二）</w:t>
      </w:r>
      <w:r>
        <w:rPr>
          <w:rFonts w:hint="eastAsia" w:ascii="仿宋_GB2312" w:hAnsi="仿宋" w:eastAsia="仿宋_GB2312"/>
          <w:sz w:val="32"/>
          <w:szCs w:val="32"/>
        </w:rPr>
        <w:t>提高预算编制科学性，明确资金测算依据</w:t>
      </w:r>
      <w:r>
        <w:rPr>
          <w:rFonts w:hint="eastAsia" w:ascii="仿宋_GB2312" w:hAnsi="仿宋" w:eastAsia="仿宋_GB2312"/>
          <w:sz w:val="32"/>
          <w:szCs w:val="32"/>
          <w:lang w:val="en-US" w:eastAsia="zh-CN"/>
        </w:rPr>
        <w:t>和</w:t>
      </w:r>
      <w:r>
        <w:rPr>
          <w:rFonts w:hint="eastAsia" w:ascii="仿宋_GB2312" w:hAnsi="仿宋" w:eastAsia="仿宋_GB2312"/>
          <w:sz w:val="32"/>
          <w:szCs w:val="32"/>
        </w:rPr>
        <w:t>分配</w:t>
      </w:r>
      <w:r>
        <w:rPr>
          <w:rFonts w:hint="eastAsia" w:ascii="仿宋_GB2312" w:hAnsi="仿宋" w:eastAsia="仿宋_GB2312"/>
          <w:sz w:val="32"/>
          <w:szCs w:val="32"/>
          <w:lang w:val="en-US" w:eastAsia="zh-CN"/>
        </w:rPr>
        <w:t>依据</w:t>
      </w:r>
      <w:r>
        <w:rPr>
          <w:rFonts w:hint="eastAsia" w:ascii="仿宋_GB2312" w:hAnsi="仿宋" w:eastAsia="仿宋_GB2312"/>
          <w:sz w:val="32"/>
          <w:szCs w:val="32"/>
        </w:rPr>
        <w:t>。</w:t>
      </w:r>
      <w:r>
        <w:rPr>
          <w:rFonts w:hint="eastAsia" w:ascii="仿宋_GB2312" w:hAnsi="仿宋" w:eastAsia="仿宋_GB2312"/>
          <w:sz w:val="32"/>
          <w:szCs w:val="32"/>
          <w:lang w:val="en-US" w:eastAsia="zh-CN"/>
        </w:rPr>
        <w:t>进一步提高项目</w:t>
      </w:r>
      <w:r>
        <w:rPr>
          <w:rFonts w:hint="eastAsia" w:ascii="仿宋_GB2312" w:hAnsi="仿宋" w:eastAsia="仿宋_GB2312"/>
          <w:sz w:val="32"/>
          <w:szCs w:val="32"/>
        </w:rPr>
        <w:t>管理</w:t>
      </w:r>
      <w:r>
        <w:rPr>
          <w:rFonts w:hint="eastAsia" w:ascii="仿宋_GB2312" w:hAnsi="仿宋" w:eastAsia="仿宋_GB2312"/>
          <w:sz w:val="32"/>
          <w:szCs w:val="32"/>
          <w:lang w:val="en-US" w:eastAsia="zh-CN"/>
        </w:rPr>
        <w:t>水平</w:t>
      </w:r>
      <w:r>
        <w:rPr>
          <w:rFonts w:hint="eastAsia" w:ascii="仿宋_GB2312" w:hAnsi="仿宋" w:eastAsia="仿宋_GB2312"/>
          <w:sz w:val="32"/>
          <w:szCs w:val="32"/>
        </w:rPr>
        <w:t>，</w:t>
      </w:r>
      <w:r>
        <w:rPr>
          <w:rFonts w:hint="eastAsia" w:ascii="仿宋_GB2312" w:hAnsi="仿宋" w:eastAsia="仿宋_GB2312"/>
          <w:sz w:val="32"/>
          <w:szCs w:val="32"/>
          <w:lang w:val="en-US" w:eastAsia="zh-CN"/>
        </w:rPr>
        <w:t>确保项目</w:t>
      </w:r>
      <w:r>
        <w:rPr>
          <w:rFonts w:hint="eastAsia" w:ascii="仿宋_GB2312" w:hAnsi="宋体" w:eastAsia="仿宋_GB2312" w:cs="宋体"/>
          <w:color w:val="000000"/>
          <w:kern w:val="0"/>
          <w:sz w:val="32"/>
          <w:szCs w:val="32"/>
        </w:rPr>
        <w:t>实施方案</w:t>
      </w:r>
      <w:r>
        <w:rPr>
          <w:rFonts w:hint="eastAsia" w:ascii="仿宋_GB2312" w:hAnsi="宋体" w:eastAsia="仿宋_GB2312" w:cs="宋体"/>
          <w:color w:val="000000"/>
          <w:kern w:val="0"/>
          <w:sz w:val="32"/>
          <w:szCs w:val="32"/>
          <w:lang w:val="en-US" w:eastAsia="zh-CN"/>
        </w:rPr>
        <w:t>的科学性和可行性</w:t>
      </w:r>
      <w:r>
        <w:rPr>
          <w:rFonts w:hint="eastAsia" w:ascii="仿宋_GB2312" w:hAnsi="宋体" w:eastAsia="仿宋_GB2312" w:cs="宋体"/>
          <w:color w:val="000000"/>
          <w:kern w:val="0"/>
          <w:sz w:val="32"/>
          <w:szCs w:val="32"/>
        </w:rPr>
        <w:t>，为后续</w:t>
      </w:r>
      <w:r>
        <w:rPr>
          <w:rFonts w:hint="eastAsia" w:ascii="仿宋_GB2312" w:hAnsi="宋体" w:eastAsia="仿宋_GB2312" w:cs="宋体"/>
          <w:color w:val="000000"/>
          <w:kern w:val="0"/>
          <w:sz w:val="32"/>
          <w:szCs w:val="32"/>
          <w:lang w:val="en-US" w:eastAsia="zh-CN"/>
        </w:rPr>
        <w:t>总结</w:t>
      </w:r>
      <w:r>
        <w:rPr>
          <w:rFonts w:hint="eastAsia" w:ascii="仿宋_GB2312" w:hAnsi="宋体" w:eastAsia="仿宋_GB2312" w:cs="宋体"/>
          <w:color w:val="000000"/>
          <w:kern w:val="0"/>
          <w:sz w:val="32"/>
          <w:szCs w:val="32"/>
        </w:rPr>
        <w:t>分析做铺垫</w:t>
      </w:r>
      <w:r>
        <w:rPr>
          <w:rFonts w:hint="eastAsia" w:ascii="仿宋_GB2312" w:hAnsi="宋体" w:eastAsia="仿宋_GB2312" w:cs="宋体"/>
          <w:color w:val="000000"/>
          <w:kern w:val="0"/>
          <w:sz w:val="32"/>
          <w:szCs w:val="32"/>
          <w:lang w:eastAsia="zh-CN"/>
        </w:rPr>
        <w:t>。</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（三）在项目实施过程中，重视对已设定绩效目标和指标完成情况的归集与分析，强化绩效约束，</w:t>
      </w:r>
      <w:r>
        <w:rPr>
          <w:rFonts w:hint="eastAsia" w:ascii="仿宋_GB2312" w:hAnsi="宋体" w:eastAsia="仿宋_GB2312" w:cs="宋体"/>
          <w:color w:val="000000"/>
          <w:kern w:val="0"/>
          <w:sz w:val="32"/>
          <w:szCs w:val="32"/>
          <w:lang w:val="en-US" w:eastAsia="zh-CN"/>
        </w:rPr>
        <w:t>科学、合理开展</w:t>
      </w:r>
      <w:r>
        <w:rPr>
          <w:rFonts w:hint="eastAsia" w:ascii="仿宋_GB2312" w:hAnsi="宋体" w:eastAsia="仿宋_GB2312" w:cs="宋体"/>
          <w:color w:val="000000"/>
          <w:kern w:val="0"/>
          <w:sz w:val="32"/>
          <w:szCs w:val="32"/>
        </w:rPr>
        <w:t>服务对象满意度调查，为实现绩效目标提供有效支撑。</w:t>
      </w:r>
    </w:p>
    <w:p>
      <w:pPr>
        <w:spacing w:line="600" w:lineRule="exact"/>
        <w:ind w:left="105" w:leftChars="50" w:firstLine="480" w:firstLineChars="150"/>
        <w:rPr>
          <w:rFonts w:hint="eastAsia" w:ascii="仿宋_GB2312" w:hAnsi="宋体" w:eastAsia="仿宋_GB2312" w:cs="宋体"/>
          <w:color w:val="000000"/>
          <w:kern w:val="0"/>
          <w:sz w:val="32"/>
          <w:szCs w:val="32"/>
        </w:rPr>
      </w:pPr>
    </w:p>
    <w:p>
      <w:pPr>
        <w:spacing w:line="600" w:lineRule="exact"/>
        <w:rPr>
          <w:rFonts w:hint="eastAsia" w:ascii="仿宋_GB2312" w:hAnsi="宋体" w:eastAsia="仿宋_GB2312" w:cs="宋体"/>
          <w:color w:val="000000"/>
          <w:kern w:val="0"/>
          <w:sz w:val="32"/>
          <w:szCs w:val="32"/>
        </w:rPr>
      </w:pPr>
    </w:p>
    <w:p>
      <w:pPr>
        <w:spacing w:line="600" w:lineRule="exact"/>
        <w:ind w:left="105" w:leftChars="50" w:firstLine="480" w:firstLineChars="150"/>
        <w:rPr>
          <w:rFonts w:hint="eastAsia" w:ascii="仿宋_GB2312" w:hAnsi="宋体" w:eastAsia="仿宋_GB2312" w:cs="宋体"/>
          <w:color w:val="000000"/>
          <w:kern w:val="0"/>
          <w:sz w:val="32"/>
          <w:szCs w:val="32"/>
        </w:rPr>
      </w:pPr>
    </w:p>
    <w:p>
      <w:pPr>
        <w:spacing w:line="600" w:lineRule="exact"/>
        <w:ind w:left="105" w:leftChars="50" w:firstLine="480" w:firstLineChars="150"/>
        <w:rPr>
          <w:rFonts w:hint="eastAsia" w:ascii="仿宋_GB2312" w:hAnsi="宋体" w:eastAsia="仿宋_GB2312" w:cs="宋体"/>
          <w:color w:val="000000"/>
          <w:kern w:val="0"/>
          <w:sz w:val="32"/>
          <w:szCs w:val="32"/>
        </w:rPr>
      </w:pPr>
    </w:p>
    <w:p>
      <w:pPr>
        <w:spacing w:line="600" w:lineRule="exact"/>
        <w:ind w:left="105" w:leftChars="50" w:firstLine="480" w:firstLineChars="150"/>
        <w:rPr>
          <w:rFonts w:hint="eastAsia" w:ascii="仿宋_GB2312" w:hAnsi="宋体" w:eastAsia="仿宋_GB2312" w:cs="宋体"/>
          <w:color w:val="000000"/>
          <w:kern w:val="0"/>
          <w:sz w:val="32"/>
          <w:szCs w:val="32"/>
        </w:rPr>
      </w:pPr>
    </w:p>
    <w:p>
      <w:pPr>
        <w:spacing w:line="600" w:lineRule="exact"/>
        <w:ind w:left="105" w:leftChars="50" w:firstLine="480" w:firstLineChars="150"/>
        <w:rPr>
          <w:rFonts w:hint="eastAsia" w:ascii="仿宋_GB2312" w:hAnsi="宋体" w:eastAsia="仿宋_GB2312" w:cs="宋体"/>
          <w:color w:val="000000"/>
          <w:kern w:val="0"/>
          <w:sz w:val="32"/>
          <w:szCs w:val="32"/>
        </w:rPr>
      </w:pPr>
    </w:p>
    <w:p>
      <w:pPr>
        <w:spacing w:line="600" w:lineRule="exact"/>
        <w:ind w:left="105" w:leftChars="50" w:firstLine="480" w:firstLineChars="150"/>
        <w:rPr>
          <w:rFonts w:hint="eastAsia" w:ascii="仿宋_GB2312" w:hAnsi="宋体" w:eastAsia="仿宋_GB2312" w:cs="宋体"/>
          <w:color w:val="000000"/>
          <w:kern w:val="0"/>
          <w:sz w:val="32"/>
          <w:szCs w:val="32"/>
        </w:rPr>
      </w:pPr>
    </w:p>
    <w:p>
      <w:pPr>
        <w:spacing w:line="600" w:lineRule="exact"/>
        <w:ind w:left="105" w:leftChars="50" w:firstLine="480" w:firstLineChars="150"/>
        <w:rPr>
          <w:rFonts w:hint="eastAsia" w:ascii="仿宋_GB2312" w:hAnsi="宋体" w:eastAsia="仿宋_GB2312" w:cs="宋体"/>
          <w:color w:val="000000"/>
          <w:kern w:val="0"/>
          <w:sz w:val="32"/>
          <w:szCs w:val="32"/>
        </w:rPr>
      </w:pPr>
    </w:p>
    <w:p>
      <w:pPr>
        <w:spacing w:line="600" w:lineRule="exact"/>
        <w:ind w:left="105" w:leftChars="50" w:firstLine="480" w:firstLineChars="150"/>
        <w:rPr>
          <w:rFonts w:hint="eastAsia" w:ascii="仿宋_GB2312" w:hAnsi="宋体" w:eastAsia="仿宋_GB2312" w:cs="宋体"/>
          <w:color w:val="000000"/>
          <w:kern w:val="0"/>
          <w:sz w:val="32"/>
          <w:szCs w:val="32"/>
        </w:rPr>
      </w:pPr>
    </w:p>
    <w:p>
      <w:pPr>
        <w:spacing w:line="600" w:lineRule="exact"/>
        <w:ind w:left="105" w:leftChars="50" w:firstLine="480" w:firstLineChars="150"/>
        <w:rPr>
          <w:rFonts w:hint="eastAsia" w:ascii="仿宋_GB2312" w:hAnsi="宋体" w:eastAsia="仿宋_GB2312" w:cs="宋体"/>
          <w:color w:val="000000"/>
          <w:kern w:val="0"/>
          <w:sz w:val="32"/>
          <w:szCs w:val="32"/>
        </w:rPr>
      </w:pPr>
    </w:p>
    <w:p>
      <w:pPr>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br w:type="page"/>
      </w:r>
    </w:p>
    <w:p>
      <w:pPr>
        <w:rPr>
          <w:rFonts w:hint="eastAsia" w:ascii="仿宋_GB2312" w:hAnsi="宋体" w:eastAsia="仿宋_GB2312" w:cs="宋体"/>
          <w:color w:val="000000"/>
          <w:kern w:val="0"/>
          <w:sz w:val="32"/>
          <w:szCs w:val="32"/>
        </w:rPr>
        <w:sectPr>
          <w:footerReference r:id="rId6" w:type="default"/>
          <w:pgSz w:w="11906" w:h="16838"/>
          <w:pgMar w:top="1440" w:right="1800" w:bottom="1440" w:left="1800" w:header="851" w:footer="992" w:gutter="0"/>
          <w:pgNumType w:start="1"/>
          <w:cols w:space="425" w:num="1"/>
          <w:docGrid w:type="lines" w:linePitch="312" w:charSpace="0"/>
        </w:sectPr>
      </w:pPr>
    </w:p>
    <w:p>
      <w:pPr>
        <w:spacing w:line="600" w:lineRule="exact"/>
        <w:ind w:left="105" w:leftChars="50" w:firstLine="315" w:firstLineChars="150"/>
      </w:pPr>
      <w:r>
        <w:drawing>
          <wp:anchor distT="0" distB="0" distL="114300" distR="114300" simplePos="0" relativeHeight="251659264" behindDoc="1" locked="0" layoutInCell="1" allowOverlap="1">
            <wp:simplePos x="0" y="0"/>
            <wp:positionH relativeFrom="column">
              <wp:posOffset>-194945</wp:posOffset>
            </wp:positionH>
            <wp:positionV relativeFrom="paragraph">
              <wp:posOffset>287020</wp:posOffset>
            </wp:positionV>
            <wp:extent cx="9261475" cy="4620260"/>
            <wp:effectExtent l="0" t="0" r="0" b="2540"/>
            <wp:wrapTight wrapText="bothSides">
              <wp:wrapPolygon>
                <wp:start x="0" y="0"/>
                <wp:lineTo x="0" y="21553"/>
                <wp:lineTo x="21563" y="21553"/>
                <wp:lineTo x="21563" y="0"/>
                <wp:lineTo x="0" y="0"/>
              </wp:wrapPolygon>
            </wp:wrapTight>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9"/>
                    <a:stretch>
                      <a:fillRect/>
                    </a:stretch>
                  </pic:blipFill>
                  <pic:spPr>
                    <a:xfrm>
                      <a:off x="0" y="0"/>
                      <a:ext cx="9261475" cy="4620260"/>
                    </a:xfrm>
                    <a:prstGeom prst="rect">
                      <a:avLst/>
                    </a:prstGeom>
                    <a:noFill/>
                    <a:ln>
                      <a:noFill/>
                    </a:ln>
                  </pic:spPr>
                </pic:pic>
              </a:graphicData>
            </a:graphic>
          </wp:anchor>
        </w:drawing>
      </w:r>
    </w:p>
    <w:p>
      <w:pPr>
        <w:spacing w:line="600" w:lineRule="exact"/>
        <w:ind w:left="105" w:leftChars="50" w:firstLine="315" w:firstLineChars="150"/>
      </w:pPr>
    </w:p>
    <w:p>
      <w:pPr>
        <w:spacing w:line="600" w:lineRule="exact"/>
      </w:pPr>
      <w:r>
        <w:drawing>
          <wp:anchor distT="0" distB="0" distL="114300" distR="114300" simplePos="0" relativeHeight="251662336" behindDoc="1" locked="0" layoutInCell="1" allowOverlap="1">
            <wp:simplePos x="0" y="0"/>
            <wp:positionH relativeFrom="column">
              <wp:posOffset>6350</wp:posOffset>
            </wp:positionH>
            <wp:positionV relativeFrom="paragraph">
              <wp:posOffset>-577850</wp:posOffset>
            </wp:positionV>
            <wp:extent cx="9033510" cy="5507355"/>
            <wp:effectExtent l="0" t="0" r="34290" b="29845"/>
            <wp:wrapTight wrapText="bothSides">
              <wp:wrapPolygon>
                <wp:start x="0" y="0"/>
                <wp:lineTo x="0" y="21568"/>
                <wp:lineTo x="21561" y="21568"/>
                <wp:lineTo x="21561" y="0"/>
                <wp:lineTo x="0" y="0"/>
              </wp:wrapPolygon>
            </wp:wrapTight>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0"/>
                    <a:stretch>
                      <a:fillRect/>
                    </a:stretch>
                  </pic:blipFill>
                  <pic:spPr>
                    <a:xfrm>
                      <a:off x="0" y="0"/>
                      <a:ext cx="9033510" cy="5507355"/>
                    </a:xfrm>
                    <a:prstGeom prst="rect">
                      <a:avLst/>
                    </a:prstGeom>
                    <a:noFill/>
                    <a:ln>
                      <a:noFill/>
                    </a:ln>
                  </pic:spPr>
                </pic:pic>
              </a:graphicData>
            </a:graphic>
          </wp:anchor>
        </w:drawing>
      </w:r>
    </w:p>
    <w:p>
      <w:pPr>
        <w:spacing w:line="600" w:lineRule="exact"/>
        <w:rPr>
          <w:rFonts w:hint="eastAsia"/>
        </w:rPr>
      </w:pPr>
      <w:r>
        <w:drawing>
          <wp:anchor distT="0" distB="0" distL="114300" distR="114300" simplePos="0" relativeHeight="251663360" behindDoc="1" locked="0" layoutInCell="1" allowOverlap="1">
            <wp:simplePos x="0" y="0"/>
            <wp:positionH relativeFrom="column">
              <wp:posOffset>152400</wp:posOffset>
            </wp:positionH>
            <wp:positionV relativeFrom="paragraph">
              <wp:posOffset>-43815</wp:posOffset>
            </wp:positionV>
            <wp:extent cx="8942705" cy="5037455"/>
            <wp:effectExtent l="0" t="0" r="0" b="0"/>
            <wp:wrapTight wrapText="bothSides">
              <wp:wrapPolygon>
                <wp:start x="0" y="0"/>
                <wp:lineTo x="0" y="21565"/>
                <wp:lineTo x="21565" y="21565"/>
                <wp:lineTo x="21565" y="0"/>
                <wp:lineTo x="0" y="0"/>
              </wp:wrapPolygon>
            </wp:wrapTight>
            <wp:docPr id="1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pic:cNvPicPr>
                      <a:picLocks noChangeAspect="1"/>
                    </pic:cNvPicPr>
                  </pic:nvPicPr>
                  <pic:blipFill>
                    <a:blip r:embed="rId11"/>
                    <a:stretch>
                      <a:fillRect/>
                    </a:stretch>
                  </pic:blipFill>
                  <pic:spPr>
                    <a:xfrm>
                      <a:off x="0" y="0"/>
                      <a:ext cx="8942705" cy="5037455"/>
                    </a:xfrm>
                    <a:prstGeom prst="rect">
                      <a:avLst/>
                    </a:prstGeom>
                    <a:noFill/>
                    <a:ln>
                      <a:noFill/>
                    </a:ln>
                  </pic:spPr>
                </pic:pic>
              </a:graphicData>
            </a:graphic>
          </wp:anchor>
        </w:drawing>
      </w:r>
    </w:p>
    <w:sectPr>
      <w:footerReference r:id="rId7"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376605B-AB9D-4E95-B5D6-18FE15848E0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E2731ECF-5E41-4171-9FE8-3BFB2B9843CA}"/>
  </w:font>
  <w:font w:name="楷体_GB2312">
    <w:panose1 w:val="02010609030101010101"/>
    <w:charset w:val="86"/>
    <w:family w:val="modern"/>
    <w:pitch w:val="default"/>
    <w:sig w:usb0="00000001" w:usb1="080E0000" w:usb2="00000000" w:usb3="00000000" w:csb0="00040000" w:csb1="00000000"/>
    <w:embedRegular r:id="rId3" w:fontKey="{76235536-EC2E-496B-86D6-A0149BCA6EF9}"/>
  </w:font>
  <w:font w:name="方正小标宋简体">
    <w:panose1 w:val="03000509000000000000"/>
    <w:charset w:val="86"/>
    <w:family w:val="script"/>
    <w:pitch w:val="default"/>
    <w:sig w:usb0="00000001" w:usb1="080E0000" w:usb2="00000000" w:usb3="00000000" w:csb0="00040000" w:csb1="00000000"/>
    <w:embedRegular r:id="rId4" w:fontKey="{7FE5E81E-5DD2-42C7-A171-978452723B2A}"/>
  </w:font>
  <w:font w:name="仿宋">
    <w:panose1 w:val="02010609060101010101"/>
    <w:charset w:val="86"/>
    <w:family w:val="modern"/>
    <w:pitch w:val="default"/>
    <w:sig w:usb0="800002BF" w:usb1="38CF7CFA" w:usb2="00000016" w:usb3="00000000" w:csb0="00040001" w:csb1="00000000"/>
    <w:embedRegular r:id="rId5" w:fontKey="{801382B9-064E-491C-A4E7-FDAAAE6F0BF9}"/>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rBCXA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R+vqQ9U9&#10;wBxaFrZ6Z3lME6XydnUMkDYpHgXqVEGn4gGTmHrWb00c9T/PKerx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awQlwNwIAAHEEAAAOAAAAAAAAAAEAIAAAAB8BAABkcnMvZTJvRG9jLnht&#10;bFBLBQYAAAAABgAGAFkBAADI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FEBEB1"/>
    <w:multiLevelType w:val="singleLevel"/>
    <w:tmpl w:val="EEFEBEB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3MzUyMGY5NDI0ZjU0NTlmNGJkNTcyYjc0NzU2OTEifQ=="/>
  </w:docVars>
  <w:rsids>
    <w:rsidRoot w:val="0031681F"/>
    <w:rsid w:val="000E30FD"/>
    <w:rsid w:val="00277DEE"/>
    <w:rsid w:val="0031681F"/>
    <w:rsid w:val="004B1EFD"/>
    <w:rsid w:val="0052724E"/>
    <w:rsid w:val="007840E0"/>
    <w:rsid w:val="008862F8"/>
    <w:rsid w:val="00A81A87"/>
    <w:rsid w:val="00B13DC6"/>
    <w:rsid w:val="00B1781A"/>
    <w:rsid w:val="00E552E7"/>
    <w:rsid w:val="00EA5BA0"/>
    <w:rsid w:val="00EC5FDC"/>
    <w:rsid w:val="01175F16"/>
    <w:rsid w:val="012C1508"/>
    <w:rsid w:val="024047CD"/>
    <w:rsid w:val="03D25B79"/>
    <w:rsid w:val="040C4C3E"/>
    <w:rsid w:val="047A1114"/>
    <w:rsid w:val="056A1FCC"/>
    <w:rsid w:val="05863A26"/>
    <w:rsid w:val="05A607FA"/>
    <w:rsid w:val="07267E44"/>
    <w:rsid w:val="07452A3A"/>
    <w:rsid w:val="096B3218"/>
    <w:rsid w:val="0A0726B5"/>
    <w:rsid w:val="0C0B13B7"/>
    <w:rsid w:val="0E7038C0"/>
    <w:rsid w:val="0FBD2D54"/>
    <w:rsid w:val="0FE5719E"/>
    <w:rsid w:val="106D027E"/>
    <w:rsid w:val="111B6540"/>
    <w:rsid w:val="11637D55"/>
    <w:rsid w:val="11D01765"/>
    <w:rsid w:val="13264F2E"/>
    <w:rsid w:val="13AD35B4"/>
    <w:rsid w:val="15AE235B"/>
    <w:rsid w:val="168B10C2"/>
    <w:rsid w:val="16B15AA0"/>
    <w:rsid w:val="16BE5FBD"/>
    <w:rsid w:val="17B76D45"/>
    <w:rsid w:val="185B0D53"/>
    <w:rsid w:val="18C179CD"/>
    <w:rsid w:val="1997149E"/>
    <w:rsid w:val="1A037030"/>
    <w:rsid w:val="1AEB0D31"/>
    <w:rsid w:val="1B041BC6"/>
    <w:rsid w:val="1C8B2EE1"/>
    <w:rsid w:val="1CBC2932"/>
    <w:rsid w:val="1E844445"/>
    <w:rsid w:val="1ED938B7"/>
    <w:rsid w:val="1F45026D"/>
    <w:rsid w:val="20631369"/>
    <w:rsid w:val="21BB75FA"/>
    <w:rsid w:val="23270D74"/>
    <w:rsid w:val="253432D4"/>
    <w:rsid w:val="261E020C"/>
    <w:rsid w:val="26FE3B9A"/>
    <w:rsid w:val="277001C4"/>
    <w:rsid w:val="282A78D1"/>
    <w:rsid w:val="294C4684"/>
    <w:rsid w:val="29535AA8"/>
    <w:rsid w:val="297D6E28"/>
    <w:rsid w:val="29932436"/>
    <w:rsid w:val="2ADC0C80"/>
    <w:rsid w:val="2B3202B6"/>
    <w:rsid w:val="2B461EE9"/>
    <w:rsid w:val="2B8C0B36"/>
    <w:rsid w:val="2F041F69"/>
    <w:rsid w:val="3075265F"/>
    <w:rsid w:val="30EE0170"/>
    <w:rsid w:val="30F67AE6"/>
    <w:rsid w:val="3122506D"/>
    <w:rsid w:val="31336B36"/>
    <w:rsid w:val="31DE3A9E"/>
    <w:rsid w:val="32C133EE"/>
    <w:rsid w:val="33362F81"/>
    <w:rsid w:val="33CA2CC9"/>
    <w:rsid w:val="349472EA"/>
    <w:rsid w:val="372525AE"/>
    <w:rsid w:val="3810124E"/>
    <w:rsid w:val="38247742"/>
    <w:rsid w:val="38433524"/>
    <w:rsid w:val="38C74734"/>
    <w:rsid w:val="3AA156F3"/>
    <w:rsid w:val="3AF9494C"/>
    <w:rsid w:val="3CC1321B"/>
    <w:rsid w:val="3E611186"/>
    <w:rsid w:val="3FC24CAB"/>
    <w:rsid w:val="41CA3F80"/>
    <w:rsid w:val="43BB117D"/>
    <w:rsid w:val="442F52BE"/>
    <w:rsid w:val="487E23A1"/>
    <w:rsid w:val="48FA020D"/>
    <w:rsid w:val="49251803"/>
    <w:rsid w:val="4C9515D8"/>
    <w:rsid w:val="4DBC3CE3"/>
    <w:rsid w:val="4E3C1596"/>
    <w:rsid w:val="4ECA3178"/>
    <w:rsid w:val="50CA2BBB"/>
    <w:rsid w:val="519563CB"/>
    <w:rsid w:val="523F0236"/>
    <w:rsid w:val="524349D3"/>
    <w:rsid w:val="53474416"/>
    <w:rsid w:val="537742C5"/>
    <w:rsid w:val="54B03E76"/>
    <w:rsid w:val="564C575A"/>
    <w:rsid w:val="568C725B"/>
    <w:rsid w:val="57482A8C"/>
    <w:rsid w:val="580469B3"/>
    <w:rsid w:val="595C16D5"/>
    <w:rsid w:val="595D52E9"/>
    <w:rsid w:val="5A3E31F1"/>
    <w:rsid w:val="5B0605EA"/>
    <w:rsid w:val="5BC8419B"/>
    <w:rsid w:val="5C693288"/>
    <w:rsid w:val="5CA63460"/>
    <w:rsid w:val="5DB34F59"/>
    <w:rsid w:val="5DFA4633"/>
    <w:rsid w:val="5F4607D7"/>
    <w:rsid w:val="5F942323"/>
    <w:rsid w:val="602F0115"/>
    <w:rsid w:val="60801015"/>
    <w:rsid w:val="60E4175B"/>
    <w:rsid w:val="614E0C9F"/>
    <w:rsid w:val="6197060F"/>
    <w:rsid w:val="61AE19CB"/>
    <w:rsid w:val="61E04F3C"/>
    <w:rsid w:val="61ED1051"/>
    <w:rsid w:val="620946D9"/>
    <w:rsid w:val="634F746F"/>
    <w:rsid w:val="63534C92"/>
    <w:rsid w:val="645A6E6C"/>
    <w:rsid w:val="64C50907"/>
    <w:rsid w:val="64DD2A65"/>
    <w:rsid w:val="6518584B"/>
    <w:rsid w:val="659155FE"/>
    <w:rsid w:val="65BE0F69"/>
    <w:rsid w:val="65F8243B"/>
    <w:rsid w:val="66EF4CD2"/>
    <w:rsid w:val="67917600"/>
    <w:rsid w:val="67FD104D"/>
    <w:rsid w:val="685968A7"/>
    <w:rsid w:val="68961AA0"/>
    <w:rsid w:val="689664C7"/>
    <w:rsid w:val="68B24209"/>
    <w:rsid w:val="69BE6932"/>
    <w:rsid w:val="69E46644"/>
    <w:rsid w:val="6ACC2515"/>
    <w:rsid w:val="6ACD0E92"/>
    <w:rsid w:val="6ADC309B"/>
    <w:rsid w:val="6DA771C7"/>
    <w:rsid w:val="6F23304B"/>
    <w:rsid w:val="708717DA"/>
    <w:rsid w:val="70DA60AB"/>
    <w:rsid w:val="72F148F0"/>
    <w:rsid w:val="740521B9"/>
    <w:rsid w:val="740E3B7A"/>
    <w:rsid w:val="78E360E5"/>
    <w:rsid w:val="79CB027A"/>
    <w:rsid w:val="7A9F67D4"/>
    <w:rsid w:val="7AD448DC"/>
    <w:rsid w:val="7B161D54"/>
    <w:rsid w:val="7B5B40B2"/>
    <w:rsid w:val="7C266648"/>
    <w:rsid w:val="7CB579CC"/>
    <w:rsid w:val="7DB70CEA"/>
    <w:rsid w:val="7E834D79"/>
    <w:rsid w:val="7F2B0A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alloon Text"/>
    <w:basedOn w:val="1"/>
    <w:link w:val="12"/>
    <w:autoRedefine/>
    <w:qFormat/>
    <w:uiPriority w:val="0"/>
    <w:rPr>
      <w:sz w:val="18"/>
      <w:szCs w:val="18"/>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autoRedefine/>
    <w:qFormat/>
    <w:uiPriority w:val="0"/>
  </w:style>
  <w:style w:type="paragraph" w:styleId="7">
    <w:name w:val="toc 2"/>
    <w:basedOn w:val="1"/>
    <w:next w:val="1"/>
    <w:autoRedefine/>
    <w:qFormat/>
    <w:uiPriority w:val="0"/>
    <w:pPr>
      <w:ind w:left="420" w:leftChars="200"/>
    </w:pPr>
  </w:style>
  <w:style w:type="paragraph" w:styleId="8">
    <w:name w:val="Normal (Web)"/>
    <w:basedOn w:val="1"/>
    <w:autoRedefine/>
    <w:qFormat/>
    <w:uiPriority w:val="0"/>
    <w:pPr>
      <w:spacing w:beforeAutospacing="1" w:afterAutospacing="1"/>
      <w:jc w:val="left"/>
    </w:pPr>
    <w:rPr>
      <w:kern w:val="0"/>
      <w:sz w:val="24"/>
    </w:rPr>
  </w:style>
  <w:style w:type="character" w:styleId="11">
    <w:name w:val="Strong"/>
    <w:basedOn w:val="10"/>
    <w:autoRedefine/>
    <w:qFormat/>
    <w:uiPriority w:val="0"/>
    <w:rPr>
      <w:b/>
    </w:rPr>
  </w:style>
  <w:style w:type="character" w:customStyle="1" w:styleId="12">
    <w:name w:val="批注框文本 字符"/>
    <w:basedOn w:val="10"/>
    <w:link w:val="3"/>
    <w:autoRedefine/>
    <w:qFormat/>
    <w:uiPriority w:val="0"/>
    <w:rPr>
      <w:kern w:val="2"/>
      <w:sz w:val="18"/>
      <w:szCs w:val="18"/>
    </w:rPr>
  </w:style>
  <w:style w:type="paragraph" w:customStyle="1" w:styleId="13">
    <w:name w:val="Default"/>
    <w:autoRedefine/>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customStyle="1" w:styleId="14">
    <w:name w:val="Revision"/>
    <w:autoRedefine/>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18</Pages>
  <Words>7163</Words>
  <Characters>7557</Characters>
  <Lines>60</Lines>
  <Paragraphs>17</Paragraphs>
  <TotalTime>5</TotalTime>
  <ScaleCrop>false</ScaleCrop>
  <LinksUpToDate>false</LinksUpToDate>
  <CharactersWithSpaces>7652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2022-04-29T05:38:00Z</dcterms:created>
  <dc:creator>user</dc:creator>
  <cp:lastModifiedBy>静</cp:lastModifiedBy>
  <cp:lastPrinted>2024-05-20T01:16:00Z</cp:lastPrinted>
  <dcterms:modified xsi:type="dcterms:W3CDTF">2024-05-20T04:05:49Z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2EF1AEAE62F442C5AFC33696AB897D9F_13</vt:lpwstr>
  </property>
</Properties>
</file>