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auto"/>
          <w:sz w:val="52"/>
          <w:szCs w:val="52"/>
        </w:rPr>
      </w:pPr>
    </w:p>
    <w:p>
      <w:pPr>
        <w:rPr>
          <w:b/>
          <w:bCs/>
          <w:color w:val="auto"/>
          <w:sz w:val="52"/>
          <w:szCs w:val="52"/>
        </w:rPr>
      </w:pPr>
    </w:p>
    <w:p>
      <w:pPr>
        <w:rPr>
          <w:b/>
          <w:bCs/>
          <w:color w:val="auto"/>
          <w:sz w:val="52"/>
          <w:szCs w:val="52"/>
        </w:rPr>
      </w:pPr>
    </w:p>
    <w:p>
      <w:pPr>
        <w:jc w:val="center"/>
        <w:rPr>
          <w:rFonts w:asciiTheme="minorEastAsia" w:hAnsiTheme="minorEastAsia" w:eastAsiaTheme="minorEastAsia" w:cstheme="minorEastAsia"/>
          <w:b/>
          <w:bCs/>
          <w:color w:val="auto"/>
          <w:sz w:val="52"/>
          <w:szCs w:val="52"/>
        </w:rPr>
      </w:pPr>
      <w:r>
        <w:rPr>
          <w:rFonts w:hint="eastAsia" w:asciiTheme="minorEastAsia" w:hAnsiTheme="minorEastAsia" w:eastAsiaTheme="minorEastAsia" w:cstheme="minorEastAsia"/>
          <w:b/>
          <w:bCs/>
          <w:color w:val="auto"/>
          <w:sz w:val="52"/>
          <w:szCs w:val="52"/>
        </w:rPr>
        <w:t>北京市重点站区管理委员会</w:t>
      </w:r>
    </w:p>
    <w:p>
      <w:pPr>
        <w:jc w:val="center"/>
        <w:rPr>
          <w:rFonts w:asciiTheme="minorEastAsia" w:hAnsiTheme="minorEastAsia" w:eastAsiaTheme="minorEastAsia" w:cstheme="minorEastAsia"/>
          <w:b/>
          <w:bCs/>
          <w:color w:val="auto"/>
          <w:sz w:val="52"/>
        </w:rPr>
      </w:pPr>
      <w:r>
        <w:rPr>
          <w:rFonts w:hint="eastAsia" w:asciiTheme="minorEastAsia" w:hAnsiTheme="minorEastAsia" w:eastAsiaTheme="minorEastAsia" w:cstheme="minorEastAsia"/>
          <w:b/>
          <w:bCs/>
          <w:color w:val="auto"/>
          <w:sz w:val="52"/>
          <w:szCs w:val="52"/>
        </w:rPr>
        <w:t>部门整体绩效评价报告</w:t>
      </w:r>
    </w:p>
    <w:p>
      <w:pPr>
        <w:jc w:val="center"/>
        <w:rPr>
          <w:rFonts w:eastAsia="黑体"/>
          <w:color w:val="auto"/>
          <w:sz w:val="30"/>
        </w:rPr>
      </w:pPr>
    </w:p>
    <w:p>
      <w:pPr>
        <w:rPr>
          <w:rFonts w:eastAsia="黑体"/>
          <w:color w:val="auto"/>
          <w:sz w:val="30"/>
        </w:rPr>
      </w:pPr>
    </w:p>
    <w:p>
      <w:pPr>
        <w:jc w:val="center"/>
        <w:rPr>
          <w:rFonts w:eastAsia="黑体"/>
          <w:color w:val="auto"/>
          <w:sz w:val="30"/>
        </w:rPr>
      </w:pPr>
    </w:p>
    <w:p>
      <w:pPr>
        <w:jc w:val="center"/>
        <w:rPr>
          <w:rFonts w:eastAsia="黑体"/>
          <w:color w:val="auto"/>
          <w:sz w:val="30"/>
        </w:rPr>
      </w:pPr>
    </w:p>
    <w:p>
      <w:pPr>
        <w:rPr>
          <w:rFonts w:eastAsia="黑体"/>
          <w:color w:val="auto"/>
          <w:sz w:val="30"/>
        </w:rPr>
      </w:pPr>
    </w:p>
    <w:p>
      <w:pPr>
        <w:jc w:val="center"/>
        <w:rPr>
          <w:rFonts w:eastAsia="黑体"/>
          <w:color w:val="auto"/>
          <w:sz w:val="30"/>
        </w:rPr>
      </w:pPr>
    </w:p>
    <w:p>
      <w:pPr>
        <w:jc w:val="center"/>
        <w:rPr>
          <w:rFonts w:eastAsia="黑体"/>
          <w:color w:val="auto"/>
          <w:sz w:val="30"/>
        </w:rPr>
      </w:pPr>
    </w:p>
    <w:p>
      <w:pPr>
        <w:ind w:left="210" w:leftChars="100" w:firstLine="640" w:firstLineChars="200"/>
        <w:rPr>
          <w:rFonts w:ascii="宋体" w:hAnsi="宋体"/>
          <w:color w:val="auto"/>
          <w:sz w:val="32"/>
          <w:szCs w:val="32"/>
        </w:rPr>
      </w:pPr>
      <w:r>
        <w:rPr>
          <w:rFonts w:hint="eastAsia" w:ascii="宋体" w:hAnsi="宋体"/>
          <w:color w:val="auto"/>
          <w:sz w:val="32"/>
          <w:szCs w:val="32"/>
        </w:rPr>
        <w:t>主管部门</w:t>
      </w:r>
      <w:r>
        <w:rPr>
          <w:rFonts w:hint="eastAsia" w:ascii="宋体" w:hAnsi="宋体"/>
          <w:color w:val="auto"/>
          <w:sz w:val="32"/>
          <w:szCs w:val="32"/>
          <w:u w:val="single"/>
        </w:rPr>
        <w:t xml:space="preserve">      北京市重点站区管理委员会      </w:t>
      </w:r>
    </w:p>
    <w:p>
      <w:pPr>
        <w:ind w:left="210" w:leftChars="100" w:firstLine="640" w:firstLineChars="200"/>
        <w:rPr>
          <w:rFonts w:ascii="宋体" w:hAnsi="宋体"/>
          <w:color w:val="auto"/>
          <w:sz w:val="32"/>
          <w:szCs w:val="32"/>
        </w:rPr>
      </w:pPr>
      <w:r>
        <w:rPr>
          <w:rFonts w:hint="eastAsia" w:ascii="宋体" w:hAnsi="宋体"/>
          <w:color w:val="auto"/>
          <w:sz w:val="32"/>
          <w:szCs w:val="32"/>
        </w:rPr>
        <w:t>项目单位</w:t>
      </w:r>
      <w:r>
        <w:rPr>
          <w:rFonts w:hint="eastAsia" w:ascii="宋体" w:hAnsi="宋体"/>
          <w:color w:val="auto"/>
          <w:sz w:val="32"/>
          <w:szCs w:val="32"/>
          <w:u w:val="single"/>
        </w:rPr>
        <w:t xml:space="preserve">      北京市重点站区管理委员会      </w:t>
      </w:r>
    </w:p>
    <w:p>
      <w:pPr>
        <w:rPr>
          <w:rFonts w:eastAsia="黑体"/>
          <w:color w:val="auto"/>
          <w:sz w:val="36"/>
          <w:szCs w:val="36"/>
        </w:rPr>
      </w:pPr>
    </w:p>
    <w:p>
      <w:pPr>
        <w:rPr>
          <w:rFonts w:eastAsia="黑体"/>
          <w:color w:val="auto"/>
          <w:sz w:val="36"/>
          <w:szCs w:val="36"/>
        </w:rPr>
      </w:pPr>
    </w:p>
    <w:p>
      <w:pPr>
        <w:jc w:val="center"/>
        <w:rPr>
          <w:rFonts w:ascii="黑体" w:eastAsia="黑体"/>
          <w:b/>
          <w:color w:val="auto"/>
          <w:sz w:val="32"/>
          <w:szCs w:val="32"/>
        </w:rPr>
      </w:pPr>
      <w:r>
        <w:rPr>
          <w:rFonts w:hint="eastAsia" w:ascii="黑体" w:eastAsia="黑体"/>
          <w:color w:val="auto"/>
          <w:sz w:val="36"/>
          <w:szCs w:val="36"/>
        </w:rPr>
        <w:t>北京市重点站区管理委员会</w:t>
      </w:r>
    </w:p>
    <w:p>
      <w:pPr>
        <w:jc w:val="center"/>
        <w:rPr>
          <w:rFonts w:ascii="黑体" w:eastAsia="黑体"/>
          <w:color w:val="auto"/>
          <w:sz w:val="36"/>
          <w:szCs w:val="36"/>
        </w:rPr>
      </w:pPr>
      <w:r>
        <w:rPr>
          <w:rFonts w:hint="eastAsia" w:ascii="黑体" w:eastAsia="黑体"/>
          <w:color w:val="auto"/>
          <w:sz w:val="36"/>
          <w:szCs w:val="36"/>
        </w:rPr>
        <w:t>二〇二</w:t>
      </w:r>
      <w:r>
        <w:rPr>
          <w:rFonts w:hint="eastAsia" w:ascii="黑体" w:eastAsia="黑体"/>
          <w:color w:val="auto"/>
          <w:sz w:val="36"/>
          <w:szCs w:val="36"/>
          <w:lang w:val="en-US" w:eastAsia="zh-CN"/>
        </w:rPr>
        <w:t>五</w:t>
      </w:r>
      <w:r>
        <w:rPr>
          <w:rFonts w:hint="eastAsia" w:ascii="黑体" w:eastAsia="黑体"/>
          <w:color w:val="auto"/>
          <w:sz w:val="36"/>
          <w:szCs w:val="36"/>
        </w:rPr>
        <w:t>年五月</w:t>
      </w:r>
    </w:p>
    <w:p>
      <w:pPr>
        <w:jc w:val="center"/>
        <w:rPr>
          <w:rFonts w:ascii="黑体" w:eastAsia="黑体"/>
          <w:color w:val="auto"/>
          <w:sz w:val="36"/>
          <w:szCs w:val="36"/>
        </w:rPr>
        <w:sectPr>
          <w:pgSz w:w="11906" w:h="16838"/>
          <w:pgMar w:top="1440" w:right="1800" w:bottom="1440" w:left="1800" w:header="851" w:footer="992" w:gutter="0"/>
          <w:pgNumType w:start="1"/>
          <w:cols w:space="425" w:num="1"/>
          <w:docGrid w:type="lines" w:linePitch="312" w:charSpace="0"/>
        </w:sectPr>
      </w:pPr>
    </w:p>
    <w:sdt>
      <w:sdtPr>
        <w:rPr>
          <w:rFonts w:ascii="宋体" w:hAnsi="宋体"/>
          <w:color w:val="auto"/>
        </w:rPr>
        <w:id w:val="147453448"/>
        <w:docPartObj>
          <w:docPartGallery w:val="Table of Contents"/>
          <w:docPartUnique/>
        </w:docPartObj>
      </w:sdtPr>
      <w:sdtEndPr>
        <w:rPr>
          <w:rFonts w:ascii="宋体" w:hAnsi="宋体"/>
          <w:color w:val="auto"/>
        </w:rPr>
      </w:sdtEndPr>
      <w:sdtContent>
        <w:p>
          <w:pPr>
            <w:jc w:val="center"/>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6"/>
              <w:szCs w:val="36"/>
            </w:rPr>
            <w:t>目</w:t>
          </w:r>
          <w:r>
            <w:rPr>
              <w:rFonts w:hint="eastAsia" w:ascii="仿宋_GB2312" w:hAnsi="仿宋_GB2312" w:eastAsia="仿宋_GB2312" w:cs="仿宋_GB2312"/>
              <w:b/>
              <w:bCs/>
              <w:color w:val="auto"/>
              <w:sz w:val="36"/>
              <w:szCs w:val="36"/>
              <w:lang w:val="en-US" w:eastAsia="zh-CN"/>
            </w:rPr>
            <w:t xml:space="preserve"> </w:t>
          </w:r>
          <w:r>
            <w:rPr>
              <w:rFonts w:hint="eastAsia" w:ascii="仿宋_GB2312" w:hAnsi="仿宋_GB2312" w:eastAsia="仿宋_GB2312" w:cs="仿宋_GB2312"/>
              <w:b/>
              <w:bCs/>
              <w:color w:val="auto"/>
              <w:sz w:val="36"/>
              <w:szCs w:val="36"/>
            </w:rPr>
            <w:t>录</w:t>
          </w:r>
        </w:p>
        <w:p>
          <w:pPr>
            <w:pStyle w:val="8"/>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TOC \o "1-3" \h \u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_Toc17717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一、部门概况</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_Toc17717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1</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_Toc15081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（一）机构设置及职责工作任务情况</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_Toc15081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_Toc2823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（二）部门整体绩效目标设立情况</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_Toc2823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8"/>
            <w:tabs>
              <w:tab w:val="right" w:leader="dot" w:pos="8306"/>
            </w:tabs>
            <w:spacing w:line="480" w:lineRule="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_Toc16367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二、当年预算执行情况</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_Toc16367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5</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8"/>
            <w:tabs>
              <w:tab w:val="right" w:leader="dot" w:pos="8306"/>
            </w:tabs>
            <w:spacing w:line="480" w:lineRule="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_Toc18076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三、整体绩效目标实现情况</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_Toc18076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5</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_Toc17108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（一）产出完成情况分析</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_Toc17108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_Toc23581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（二）效果实现情况分析</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_Toc23581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8"/>
            <w:tabs>
              <w:tab w:val="right" w:leader="dot" w:pos="8306"/>
            </w:tabs>
            <w:spacing w:line="480" w:lineRule="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_Toc27235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四、预算管理情况分析</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_Toc27235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6</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_Toc25956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（一）财务管理</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_Toc25956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_Toc9818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（二）资产管理</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_Toc9818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7</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_Toc9017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（三）绩效管理</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_Toc9017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_Toc11332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（四）结转结余率</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_Toc11332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_Toc5471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（五）部门预决算差异率</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_Toc5471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8"/>
            <w:tabs>
              <w:tab w:val="right" w:leader="dot" w:pos="8306"/>
            </w:tabs>
            <w:spacing w:line="480" w:lineRule="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_Toc974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五、总体评价结论</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_Toc974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8</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_Toc22514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（一）评价得分情况</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_Toc22514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9"/>
            <w:tabs>
              <w:tab w:val="right" w:leader="dot" w:pos="8306"/>
            </w:tabs>
            <w:spacing w:line="48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_Toc26401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（二）存在的问题及原因分析</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_Toc26401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8"/>
            <w:tabs>
              <w:tab w:val="right" w:leader="dot" w:pos="8306"/>
            </w:tabs>
            <w:spacing w:line="480" w:lineRule="auto"/>
            <w:rPr>
              <w:b/>
              <w:bCs/>
              <w:color w:val="auto"/>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_Toc6386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六、措施建议</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_Toc6386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9</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rPr>
              <w:color w:val="auto"/>
            </w:rPr>
          </w:pPr>
          <w:r>
            <w:rPr>
              <w:rFonts w:hint="eastAsia" w:ascii="仿宋_GB2312" w:hAnsi="仿宋_GB2312" w:eastAsia="仿宋_GB2312" w:cs="仿宋_GB2312"/>
              <w:color w:val="auto"/>
              <w:sz w:val="32"/>
              <w:szCs w:val="32"/>
            </w:rPr>
            <w:fldChar w:fldCharType="end"/>
          </w:r>
        </w:p>
      </w:sdtContent>
    </w:sdt>
    <w:p>
      <w:pPr>
        <w:spacing w:line="560" w:lineRule="exact"/>
        <w:jc w:val="center"/>
        <w:rPr>
          <w:rFonts w:hint="eastAsia" w:ascii="方正小标宋简体" w:eastAsia="方正小标宋简体"/>
          <w:color w:val="auto"/>
          <w:sz w:val="36"/>
          <w:szCs w:val="36"/>
          <w:lang w:val="en-US" w:eastAsia="zh-CN"/>
        </w:rPr>
        <w:sectPr>
          <w:footerReference r:id="rId3" w:type="default"/>
          <w:pgSz w:w="11906" w:h="16838"/>
          <w:pgMar w:top="1440" w:right="1800" w:bottom="1440" w:left="1800" w:header="851" w:footer="992" w:gutter="0"/>
          <w:pgNumType w:start="1"/>
          <w:cols w:space="425" w:num="1"/>
          <w:docGrid w:type="lines" w:linePitch="312" w:charSpace="0"/>
        </w:sectPr>
      </w:pPr>
    </w:p>
    <w:p>
      <w:pPr>
        <w:spacing w:line="560" w:lineRule="exact"/>
        <w:jc w:val="center"/>
        <w:rPr>
          <w:rFonts w:ascii="方正小标宋简体" w:eastAsia="方正小标宋简体"/>
          <w:color w:val="auto"/>
          <w:sz w:val="36"/>
          <w:szCs w:val="36"/>
        </w:rPr>
      </w:pPr>
      <w:r>
        <w:rPr>
          <w:rFonts w:hint="eastAsia" w:ascii="方正小标宋简体" w:eastAsia="方正小标宋简体"/>
          <w:color w:val="auto"/>
          <w:sz w:val="36"/>
          <w:szCs w:val="36"/>
        </w:rPr>
        <w:t>北京市重点站区管理委员会</w:t>
      </w:r>
    </w:p>
    <w:p>
      <w:pPr>
        <w:spacing w:line="560" w:lineRule="exact"/>
        <w:jc w:val="center"/>
        <w:rPr>
          <w:rFonts w:ascii="方正小标宋简体" w:eastAsia="方正小标宋简体"/>
          <w:color w:val="auto"/>
          <w:sz w:val="36"/>
          <w:szCs w:val="36"/>
        </w:rPr>
      </w:pPr>
      <w:bookmarkStart w:id="0" w:name="_Toc4021"/>
      <w:bookmarkStart w:id="1" w:name="_Toc22521"/>
      <w:r>
        <w:rPr>
          <w:rFonts w:hint="eastAsia" w:ascii="方正小标宋简体" w:eastAsia="方正小标宋简体"/>
          <w:color w:val="auto"/>
          <w:sz w:val="36"/>
          <w:szCs w:val="36"/>
        </w:rPr>
        <w:t>部门整体绩效评价报告</w:t>
      </w:r>
      <w:bookmarkEnd w:id="0"/>
      <w:bookmarkEnd w:id="1"/>
    </w:p>
    <w:p>
      <w:pPr>
        <w:spacing w:line="560" w:lineRule="exact"/>
        <w:jc w:val="center"/>
        <w:rPr>
          <w:rFonts w:ascii="方正小标宋简体" w:eastAsia="方正小标宋简体"/>
          <w:color w:val="auto"/>
          <w:sz w:val="36"/>
          <w:szCs w:val="36"/>
        </w:rPr>
      </w:pPr>
    </w:p>
    <w:p>
      <w:pPr>
        <w:spacing w:line="560" w:lineRule="exact"/>
        <w:ind w:firstLine="640" w:firstLineChars="200"/>
        <w:outlineLvl w:val="0"/>
        <w:rPr>
          <w:rFonts w:ascii="黑体" w:hAnsi="黑体" w:eastAsia="黑体" w:cs="宋体"/>
          <w:color w:val="auto"/>
          <w:kern w:val="0"/>
          <w:sz w:val="32"/>
          <w:szCs w:val="32"/>
        </w:rPr>
      </w:pPr>
      <w:bookmarkStart w:id="2" w:name="_Toc17717"/>
      <w:bookmarkStart w:id="3" w:name="_Toc26693"/>
      <w:bookmarkStart w:id="4" w:name="_Toc14439"/>
      <w:r>
        <w:rPr>
          <w:rFonts w:hint="eastAsia" w:ascii="黑体" w:hAnsi="黑体" w:eastAsia="黑体" w:cs="宋体"/>
          <w:color w:val="auto"/>
          <w:kern w:val="0"/>
          <w:sz w:val="32"/>
          <w:szCs w:val="32"/>
        </w:rPr>
        <w:t>一、部门概况</w:t>
      </w:r>
      <w:bookmarkEnd w:id="2"/>
      <w:bookmarkEnd w:id="3"/>
      <w:bookmarkEnd w:id="4"/>
    </w:p>
    <w:p>
      <w:pPr>
        <w:spacing w:line="560" w:lineRule="exact"/>
        <w:ind w:firstLine="640" w:firstLineChars="200"/>
        <w:outlineLvl w:val="1"/>
        <w:rPr>
          <w:rFonts w:ascii="楷体_GB2312" w:eastAsia="楷体_GB2312"/>
          <w:color w:val="auto"/>
          <w:sz w:val="32"/>
          <w:szCs w:val="32"/>
        </w:rPr>
      </w:pPr>
      <w:bookmarkStart w:id="5" w:name="_Toc24074"/>
      <w:bookmarkStart w:id="6" w:name="_Toc15081"/>
      <w:bookmarkStart w:id="7" w:name="_Toc19560"/>
      <w:r>
        <w:rPr>
          <w:rFonts w:hint="eastAsia" w:ascii="楷体_GB2312" w:eastAsia="楷体_GB2312"/>
          <w:color w:val="auto"/>
          <w:sz w:val="32"/>
          <w:szCs w:val="32"/>
        </w:rPr>
        <w:t>（一）机构设置及职责工作任务情况</w:t>
      </w:r>
      <w:bookmarkEnd w:id="5"/>
      <w:bookmarkEnd w:id="6"/>
      <w:bookmarkEnd w:id="7"/>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根据《中共北京市委办公厅、北京市人民政府办公厅关于印发〈北京市重点站区管理委员会职能配置、内设机构和人员编制规定〉的通知》（京办字〔2020〕8号），设立</w:t>
      </w:r>
      <w:r>
        <w:rPr>
          <w:rFonts w:hint="eastAsia" w:ascii="仿宋_GB2312" w:hAnsi="仿宋_GB2312" w:eastAsia="仿宋_GB2312" w:cs="仿宋_GB2312"/>
          <w:color w:val="auto"/>
          <w:sz w:val="32"/>
          <w:szCs w:val="32"/>
          <w:lang w:eastAsia="zh-CN"/>
        </w:rPr>
        <w:t>北京</w:t>
      </w:r>
      <w:r>
        <w:rPr>
          <w:rFonts w:hint="eastAsia" w:ascii="仿宋_GB2312" w:hAnsi="仿宋_GB2312" w:eastAsia="仿宋_GB2312" w:cs="仿宋_GB2312"/>
          <w:color w:val="auto"/>
          <w:sz w:val="32"/>
          <w:szCs w:val="32"/>
        </w:rPr>
        <w:t>市重点站区管理委员会（以下简称市重点站区管委会），为市政府派出机构，统一负责组织协调本市重点站区的管理、服务工作。下属</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个预算单位，分别为北京市重点站区管理委员会本级、北京市城市管理综合行政执法局重点站区分局和北京市重点站区综合事务中心。</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市重点站区管委会</w:t>
      </w:r>
      <w:r>
        <w:rPr>
          <w:rFonts w:hint="eastAsia" w:ascii="仿宋_GB2312" w:hAnsi="仿宋_GB2312" w:eastAsia="仿宋_GB2312" w:cs="仿宋_GB2312"/>
          <w:color w:val="auto"/>
          <w:sz w:val="32"/>
          <w:szCs w:val="32"/>
          <w:lang w:val="en-US" w:eastAsia="zh-CN"/>
        </w:rPr>
        <w:t>的主要职责是：</w:t>
      </w:r>
      <w:r>
        <w:rPr>
          <w:rFonts w:hint="eastAsia" w:ascii="仿宋_GB2312" w:hAnsi="仿宋_GB2312" w:eastAsia="仿宋_GB2312" w:cs="仿宋_GB2312"/>
          <w:color w:val="auto"/>
          <w:sz w:val="32"/>
          <w:szCs w:val="32"/>
        </w:rPr>
        <w:t>负责组织协调本市重点站区的社会治安、市场秩序、交通秩序、公共卫生、市政公用、应急管理、精神文明建设等工作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拟订相关建设、管理、服务的规划、标准并组织实施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负责协调有关部门和单位做好本市重点站区的客运工作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负责本市重点站区出站系统管理和市容环卫工作，依据城市规划完善重点站区的服务设施。负责组织、协调、监督本市重点站区的安全生产工作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并承担相应的管理责任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负责机关及所属单位的安全工作，并承担相应的领导责任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负责对有关部门和单位在本市重点站区的日常管理和服务工作进行监督检查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参与本市重点站区的规划建设</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完成市委、市政府交办的其他任务。</w:t>
      </w:r>
    </w:p>
    <w:p>
      <w:pPr>
        <w:spacing w:line="560" w:lineRule="exact"/>
        <w:ind w:firstLine="640" w:firstLineChars="200"/>
        <w:rPr>
          <w:color w:val="auto"/>
          <w:sz w:val="32"/>
          <w:szCs w:val="32"/>
        </w:rPr>
      </w:pPr>
      <w:r>
        <w:rPr>
          <w:rFonts w:hint="eastAsia" w:ascii="仿宋_GB2312" w:hAnsi="宋体" w:eastAsia="仿宋_GB2312" w:cs="宋体"/>
          <w:color w:val="auto"/>
          <w:kern w:val="0"/>
          <w:sz w:val="32"/>
          <w:szCs w:val="32"/>
          <w:lang w:eastAsia="zh-CN"/>
        </w:rPr>
        <w:t>2024年</w:t>
      </w:r>
      <w:r>
        <w:rPr>
          <w:rFonts w:hint="eastAsia" w:ascii="仿宋_GB2312" w:hAnsi="宋体" w:eastAsia="仿宋_GB2312" w:cs="宋体"/>
          <w:color w:val="auto"/>
          <w:kern w:val="0"/>
          <w:sz w:val="32"/>
          <w:szCs w:val="32"/>
        </w:rPr>
        <w:t>度</w:t>
      </w:r>
      <w:r>
        <w:rPr>
          <w:rFonts w:hint="eastAsia" w:ascii="仿宋_GB2312" w:hAnsi="仿宋_GB2312" w:eastAsia="仿宋_GB2312" w:cs="仿宋_GB2312"/>
          <w:color w:val="auto"/>
          <w:sz w:val="32"/>
          <w:szCs w:val="32"/>
        </w:rPr>
        <w:t>市重点站区管委会</w:t>
      </w:r>
      <w:r>
        <w:rPr>
          <w:rFonts w:hint="eastAsia" w:ascii="仿宋_GB2312" w:hAnsi="宋体" w:eastAsia="仿宋_GB2312" w:cs="宋体"/>
          <w:color w:val="auto"/>
          <w:kern w:val="0"/>
          <w:sz w:val="32"/>
          <w:szCs w:val="32"/>
        </w:rPr>
        <w:t>日常履职工作要点任务4项，具体情况如下：</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1.以服务首都发展为统领，巩固站区安全基础，推动站区综合保障能力提升。</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2.以全面落实《关于加强本市重点站区管理服务工作的意见》为抓手，巩固站区改革成果，推动协同治理效能提升。</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3.以深化推进火车站地区交通综合整治为平台，巩固站区功能定位，推动站区服务水平提升。</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4.以深化巡视整改为契机，巩固站区发展政治保证，推动全面从严治党向纵深发展。</w:t>
      </w:r>
    </w:p>
    <w:p>
      <w:pPr>
        <w:spacing w:line="560" w:lineRule="exact"/>
        <w:ind w:firstLine="640" w:firstLineChars="200"/>
        <w:outlineLvl w:val="1"/>
        <w:rPr>
          <w:rFonts w:hint="eastAsia" w:ascii="楷体_GB2312" w:eastAsia="楷体_GB2312"/>
          <w:color w:val="auto"/>
          <w:sz w:val="32"/>
          <w:szCs w:val="32"/>
          <w:lang w:eastAsia="zh-CN"/>
        </w:rPr>
      </w:pPr>
      <w:bookmarkStart w:id="8" w:name="_Toc25974"/>
      <w:bookmarkStart w:id="9" w:name="_Toc2823"/>
      <w:bookmarkStart w:id="10" w:name="_Toc10248"/>
      <w:r>
        <w:rPr>
          <w:rFonts w:hint="eastAsia" w:ascii="楷体_GB2312" w:eastAsia="楷体_GB2312"/>
          <w:color w:val="auto"/>
          <w:sz w:val="32"/>
          <w:szCs w:val="32"/>
        </w:rPr>
        <w:t>（二）部门整体绩效目标设立情况</w:t>
      </w:r>
      <w:bookmarkEnd w:id="8"/>
      <w:bookmarkEnd w:id="9"/>
      <w:bookmarkEnd w:id="10"/>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市重点站区管委会根据部门工作职能和年度工作重点制定部门整体支出绩效目标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具体目标设定情况如下：</w:t>
      </w:r>
    </w:p>
    <w:p>
      <w:pPr>
        <w:numPr>
          <w:ilvl w:val="-1"/>
          <w:numId w:val="0"/>
        </w:num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切实加强社会秩序综合管理工作，保持地区安全稳定有序</w:t>
      </w:r>
    </w:p>
    <w:p>
      <w:pPr>
        <w:numPr>
          <w:ilvl w:val="-1"/>
          <w:numId w:val="0"/>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贯彻落实</w:t>
      </w:r>
      <w:r>
        <w:rPr>
          <w:rFonts w:hint="eastAsia" w:ascii="仿宋_GB2312" w:hAnsi="仿宋_GB2312" w:eastAsia="仿宋_GB2312" w:cs="仿宋_GB2312"/>
          <w:color w:val="auto"/>
          <w:sz w:val="32"/>
          <w:szCs w:val="32"/>
          <w:lang w:eastAsia="zh-CN"/>
        </w:rPr>
        <w:t>市委、市政府</w:t>
      </w:r>
      <w:r>
        <w:rPr>
          <w:rFonts w:hint="eastAsia" w:ascii="仿宋_GB2312" w:hAnsi="仿宋_GB2312" w:eastAsia="仿宋_GB2312" w:cs="仿宋_GB2312"/>
          <w:color w:val="auto"/>
          <w:sz w:val="32"/>
          <w:szCs w:val="32"/>
        </w:rPr>
        <w:t>关于城市管理综合行政执法工作的一系列文件精神，丰富完善地区综合行政执法协调运行机制，围绕地区中心工作抓好执法服务，加大对群众关心的热点和难点问题的综合整治力度；探索全时段管控工作机制，加强重点时期等重大活动的执法工作；全力抓好重点区域和重点违法行为的综合监管。</w:t>
      </w:r>
    </w:p>
    <w:p>
      <w:pPr>
        <w:numPr>
          <w:ilvl w:val="-1"/>
          <w:numId w:val="0"/>
        </w:numPr>
        <w:spacing w:line="560" w:lineRule="exact"/>
        <w:ind w:left="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扎实推进重点工程建设，全面提高站区运行管理水平</w:t>
      </w:r>
    </w:p>
    <w:p>
      <w:pPr>
        <w:numPr>
          <w:ilvl w:val="-1"/>
          <w:numId w:val="0"/>
        </w:numPr>
        <w:spacing w:line="56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加快完成重点站区管理模式的确立，理顺站区管理体制，切实提高管理服务水平；按照管辖“四至”范围和各部门区划职责，增加执勤力量，加强安全、维稳、城市建设与管理工作，固化前一阶段整治成果；增加硬件隔离、监控等物防技防投入，完善导向标识、出租车调度站等候区、自行车存放设施升级改造；落实好机构改革后所需经费的保障和支出工作。</w:t>
      </w:r>
    </w:p>
    <w:p>
      <w:pPr>
        <w:numPr>
          <w:ilvl w:val="-1"/>
          <w:numId w:val="0"/>
        </w:numPr>
        <w:spacing w:line="560" w:lineRule="exact"/>
        <w:ind w:left="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坚持巩固国家卫生区成果，着力打造靓丽窗口地区</w:t>
      </w:r>
    </w:p>
    <w:p>
      <w:pPr>
        <w:numPr>
          <w:ilvl w:val="-1"/>
          <w:numId w:val="0"/>
        </w:numPr>
        <w:spacing w:line="560" w:lineRule="exact"/>
        <w:ind w:left="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加强站区环境</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 xml:space="preserve">卫生监督和管理，按照增加清扫密度和做到时时保洁的工作标准，保持好干净整洁的站区卫生环境；积极做好“春、暑”运及全国“两会”等重点时期环境服务保障工作；严格落实站区扫雪铲冰工作方案和预案，确保雨雪天气地区道路通畅和旅客出行安全；加强垃圾分类宣传引导和规范运输管理工作；保证公厕设施完好和卫生干净整洁，为旅客提供良好的如厕环境。 </w:t>
      </w:r>
    </w:p>
    <w:p>
      <w:pPr>
        <w:numPr>
          <w:ilvl w:val="-1"/>
          <w:numId w:val="0"/>
        </w:numPr>
        <w:spacing w:line="56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 xml:space="preserve">不断深化精神文明建设，全力提升地区整体文明形象 </w:t>
      </w:r>
    </w:p>
    <w:p>
      <w:pPr>
        <w:numPr>
          <w:ilvl w:val="-1"/>
          <w:numId w:val="0"/>
        </w:numPr>
        <w:spacing w:line="560" w:lineRule="exact"/>
        <w:ind w:left="0" w:leftChars="0"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充分发挥站区宣传载体作用，重点开展文明宣传和主题公益宣传，做好重大节日等重点时期的环境氛围布置工作；继续组织开展文明出行、垃圾分类主题</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 xml:space="preserve">公益宣传教育和实践活动；建立地区文明志愿者骨干队伍，加强春暑运等重点时期的专业引导和志愿者服务活动；组织开展文明大讲堂活动，积极营造站区文明和谐氛围。 </w:t>
      </w:r>
    </w:p>
    <w:p>
      <w:pPr>
        <w:numPr>
          <w:ilvl w:val="-1"/>
          <w:numId w:val="0"/>
        </w:numPr>
        <w:spacing w:line="56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 xml:space="preserve">深入抓好管委会自身建设，努力建设旅客满意的服务型政府 </w:t>
      </w:r>
    </w:p>
    <w:p>
      <w:pPr>
        <w:numPr>
          <w:ilvl w:val="-1"/>
          <w:numId w:val="0"/>
        </w:numPr>
        <w:spacing w:line="56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采取辅导讲座、理论知识要点答题等多种形式，紧密联系站区实际和党的群众路线教育实践活动取得的成果，促进全会精神转化到实际工作中来；落实好党组理论学习中心组学习制度，加强效能监察工作。</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具体指标设定情况见表1：</w:t>
      </w:r>
    </w:p>
    <w:p>
      <w:pPr>
        <w:spacing w:line="600" w:lineRule="exact"/>
        <w:jc w:val="center"/>
        <w:rPr>
          <w:rFonts w:ascii="黑体" w:hAnsi="黑体" w:eastAsia="黑体" w:cs="黑体"/>
          <w:color w:val="000000"/>
          <w:kern w:val="0"/>
          <w:sz w:val="28"/>
          <w:szCs w:val="28"/>
        </w:rPr>
      </w:pPr>
      <w:r>
        <w:rPr>
          <w:rFonts w:hint="eastAsia" w:ascii="黑体" w:hAnsi="黑体" w:eastAsia="黑体" w:cs="黑体"/>
          <w:color w:val="000000"/>
          <w:kern w:val="0"/>
          <w:sz w:val="28"/>
          <w:szCs w:val="28"/>
        </w:rPr>
        <w:t>表1  部门整体绩效指标设定情况表</w:t>
      </w:r>
    </w:p>
    <w:tbl>
      <w:tblPr>
        <w:tblStyle w:val="11"/>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29"/>
        <w:gridCol w:w="2916"/>
        <w:gridCol w:w="1040"/>
        <w:gridCol w:w="1369"/>
        <w:gridCol w:w="10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1249"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活动</w:t>
            </w:r>
          </w:p>
        </w:tc>
        <w:tc>
          <w:tcPr>
            <w:tcW w:w="1711"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绩效指标</w:t>
            </w:r>
          </w:p>
        </w:tc>
        <w:tc>
          <w:tcPr>
            <w:tcW w:w="610"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指标性质</w:t>
            </w:r>
          </w:p>
        </w:tc>
        <w:tc>
          <w:tcPr>
            <w:tcW w:w="803"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w:t>
            </w:r>
          </w:p>
        </w:tc>
        <w:tc>
          <w:tcPr>
            <w:tcW w:w="625"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度量单位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249"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Style w:val="18"/>
                <w:lang w:val="en-US" w:eastAsia="zh-CN" w:bidi="ar"/>
              </w:rPr>
            </w:pPr>
            <w:r>
              <w:rPr>
                <w:rStyle w:val="18"/>
                <w:lang w:val="en-US" w:eastAsia="zh-CN" w:bidi="ar"/>
              </w:rPr>
              <w:t>管理工作保障</w:t>
            </w:r>
          </w:p>
        </w:tc>
        <w:tc>
          <w:tcPr>
            <w:tcW w:w="1711"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Style w:val="18"/>
                <w:lang w:val="en-US" w:eastAsia="zh-CN" w:bidi="ar"/>
              </w:rPr>
            </w:pPr>
            <w:r>
              <w:rPr>
                <w:rStyle w:val="18"/>
                <w:lang w:val="en-US" w:eastAsia="zh-CN" w:bidi="ar"/>
              </w:rPr>
              <w:t>产出指标数量指标站区数量</w:t>
            </w:r>
          </w:p>
        </w:tc>
        <w:tc>
          <w:tcPr>
            <w:tcW w:w="610"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Style w:val="18"/>
                <w:lang w:val="en-US" w:eastAsia="zh-CN" w:bidi="ar"/>
              </w:rPr>
            </w:pPr>
            <w:r>
              <w:rPr>
                <w:rStyle w:val="18"/>
                <w:lang w:val="en-US" w:eastAsia="zh-CN" w:bidi="ar"/>
              </w:rPr>
              <w:t>＝</w:t>
            </w:r>
          </w:p>
        </w:tc>
        <w:tc>
          <w:tcPr>
            <w:tcW w:w="803"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Style w:val="18"/>
                <w:lang w:val="en-US" w:eastAsia="zh-CN" w:bidi="ar"/>
              </w:rPr>
            </w:pPr>
            <w:r>
              <w:rPr>
                <w:rStyle w:val="18"/>
                <w:lang w:val="en-US" w:eastAsia="zh-CN" w:bidi="ar"/>
              </w:rPr>
              <w:t>7</w:t>
            </w:r>
          </w:p>
        </w:tc>
        <w:tc>
          <w:tcPr>
            <w:tcW w:w="625"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Style w:val="18"/>
                <w:lang w:val="en-US" w:eastAsia="zh-CN" w:bidi="ar"/>
              </w:rPr>
            </w:pPr>
            <w:r>
              <w:rPr>
                <w:rStyle w:val="18"/>
                <w:lang w:val="en-US" w:eastAsia="zh-CN" w:bidi="ar"/>
              </w:rPr>
              <w:t>个（套）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249"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管理与服务保障</w:t>
            </w:r>
          </w:p>
        </w:tc>
        <w:tc>
          <w:tcPr>
            <w:tcW w:w="1711"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产出指标时效指标完成时效</w:t>
            </w:r>
          </w:p>
        </w:tc>
        <w:tc>
          <w:tcPr>
            <w:tcW w:w="610"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w:t>
            </w:r>
          </w:p>
        </w:tc>
        <w:tc>
          <w:tcPr>
            <w:tcW w:w="803"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12</w:t>
            </w:r>
          </w:p>
        </w:tc>
        <w:tc>
          <w:tcPr>
            <w:tcW w:w="625"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249"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执法保障</w:t>
            </w:r>
          </w:p>
        </w:tc>
        <w:tc>
          <w:tcPr>
            <w:tcW w:w="1711"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产出指标时效指标完成时效</w:t>
            </w:r>
          </w:p>
        </w:tc>
        <w:tc>
          <w:tcPr>
            <w:tcW w:w="610"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w:t>
            </w:r>
          </w:p>
        </w:tc>
        <w:tc>
          <w:tcPr>
            <w:tcW w:w="803"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12</w:t>
            </w:r>
          </w:p>
        </w:tc>
        <w:tc>
          <w:tcPr>
            <w:tcW w:w="625"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249"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管理工作保障</w:t>
            </w:r>
          </w:p>
        </w:tc>
        <w:tc>
          <w:tcPr>
            <w:tcW w:w="1711"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产出指标时效指标完成时效</w:t>
            </w:r>
          </w:p>
        </w:tc>
        <w:tc>
          <w:tcPr>
            <w:tcW w:w="610"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w:t>
            </w:r>
          </w:p>
        </w:tc>
        <w:tc>
          <w:tcPr>
            <w:tcW w:w="803"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12</w:t>
            </w:r>
          </w:p>
        </w:tc>
        <w:tc>
          <w:tcPr>
            <w:tcW w:w="625"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249"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管理与服务保障</w:t>
            </w:r>
          </w:p>
        </w:tc>
        <w:tc>
          <w:tcPr>
            <w:tcW w:w="1711"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成本指标经济成本指标运行成本</w:t>
            </w:r>
          </w:p>
        </w:tc>
        <w:tc>
          <w:tcPr>
            <w:tcW w:w="610"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w:t>
            </w:r>
          </w:p>
        </w:tc>
        <w:tc>
          <w:tcPr>
            <w:tcW w:w="803"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24337.039057</w:t>
            </w:r>
          </w:p>
        </w:tc>
        <w:tc>
          <w:tcPr>
            <w:tcW w:w="625"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249"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执法保障</w:t>
            </w:r>
          </w:p>
        </w:tc>
        <w:tc>
          <w:tcPr>
            <w:tcW w:w="1711"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成本指标经济成本指标运行成本</w:t>
            </w:r>
          </w:p>
        </w:tc>
        <w:tc>
          <w:tcPr>
            <w:tcW w:w="610"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w:t>
            </w:r>
          </w:p>
        </w:tc>
        <w:tc>
          <w:tcPr>
            <w:tcW w:w="803"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15202.692701</w:t>
            </w:r>
          </w:p>
        </w:tc>
        <w:tc>
          <w:tcPr>
            <w:tcW w:w="625"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249"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管理工作保障</w:t>
            </w:r>
          </w:p>
        </w:tc>
        <w:tc>
          <w:tcPr>
            <w:tcW w:w="1711"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成本指标经济成本指标运行成本</w:t>
            </w:r>
          </w:p>
        </w:tc>
        <w:tc>
          <w:tcPr>
            <w:tcW w:w="610"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w:t>
            </w:r>
          </w:p>
        </w:tc>
        <w:tc>
          <w:tcPr>
            <w:tcW w:w="803"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15729.157501</w:t>
            </w:r>
          </w:p>
        </w:tc>
        <w:tc>
          <w:tcPr>
            <w:tcW w:w="625"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249"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Style w:val="18"/>
                <w:lang w:val="en-US" w:eastAsia="zh-CN" w:bidi="ar"/>
              </w:rPr>
            </w:pPr>
            <w:r>
              <w:rPr>
                <w:rStyle w:val="18"/>
                <w:lang w:val="en-US" w:eastAsia="zh-CN" w:bidi="ar"/>
              </w:rPr>
              <w:t>管理工作保障</w:t>
            </w:r>
          </w:p>
        </w:tc>
        <w:tc>
          <w:tcPr>
            <w:tcW w:w="1711"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Style w:val="18"/>
                <w:lang w:val="en-US" w:eastAsia="zh-CN" w:bidi="ar"/>
              </w:rPr>
            </w:pPr>
            <w:r>
              <w:rPr>
                <w:rStyle w:val="18"/>
                <w:lang w:val="en-US" w:eastAsia="zh-CN" w:bidi="ar"/>
              </w:rPr>
              <w:t>满意度指标服务对象满意度指标旅客满意度</w:t>
            </w:r>
          </w:p>
        </w:tc>
        <w:tc>
          <w:tcPr>
            <w:tcW w:w="610"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Style w:val="18"/>
                <w:lang w:val="en-US" w:eastAsia="zh-CN" w:bidi="ar"/>
              </w:rPr>
            </w:pPr>
            <w:r>
              <w:rPr>
                <w:rStyle w:val="18"/>
                <w:lang w:val="en-US" w:eastAsia="zh-CN" w:bidi="ar"/>
              </w:rPr>
              <w:t>≥</w:t>
            </w:r>
          </w:p>
        </w:tc>
        <w:tc>
          <w:tcPr>
            <w:tcW w:w="803"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Style w:val="18"/>
                <w:lang w:val="en-US" w:eastAsia="zh-CN" w:bidi="ar"/>
              </w:rPr>
            </w:pPr>
            <w:r>
              <w:rPr>
                <w:rStyle w:val="18"/>
                <w:lang w:val="en-US" w:eastAsia="zh-CN" w:bidi="ar"/>
              </w:rPr>
              <w:t>90</w:t>
            </w:r>
          </w:p>
        </w:tc>
        <w:tc>
          <w:tcPr>
            <w:tcW w:w="625" w:type="pct"/>
            <w:tcBorders>
              <w:top w:val="single" w:color="C0C0C0" w:sz="4" w:space="0"/>
              <w:left w:val="single" w:color="C0C0C0" w:sz="4" w:space="0"/>
              <w:bottom w:val="single" w:color="C0C0C0" w:sz="4" w:space="0"/>
              <w:right w:val="single" w:color="C0C0C0" w:sz="4" w:space="0"/>
            </w:tcBorders>
            <w:shd w:val="clear" w:color="auto" w:fill="auto"/>
            <w:vAlign w:val="center"/>
          </w:tcPr>
          <w:p>
            <w:pPr>
              <w:keepNext w:val="0"/>
              <w:keepLines w:val="0"/>
              <w:widowControl/>
              <w:suppressLineNumbers w:val="0"/>
              <w:jc w:val="center"/>
              <w:textAlignment w:val="center"/>
              <w:rPr>
                <w:rStyle w:val="18"/>
                <w:lang w:val="en-US" w:eastAsia="zh-CN" w:bidi="ar"/>
              </w:rPr>
            </w:pPr>
            <w:r>
              <w:rPr>
                <w:rStyle w:val="18"/>
                <w:lang w:val="en-US" w:eastAsia="zh-CN" w:bidi="ar"/>
              </w:rPr>
              <w:t>%</w:t>
            </w:r>
          </w:p>
        </w:tc>
      </w:tr>
    </w:tbl>
    <w:p>
      <w:pPr>
        <w:spacing w:line="600" w:lineRule="exact"/>
        <w:ind w:firstLine="640" w:firstLineChars="200"/>
        <w:rPr>
          <w:rFonts w:ascii="仿宋_GB2312" w:hAnsi="宋体" w:eastAsia="仿宋_GB2312" w:cs="宋体"/>
          <w:color w:val="000000"/>
          <w:kern w:val="0"/>
          <w:sz w:val="32"/>
          <w:szCs w:val="32"/>
        </w:rPr>
      </w:pPr>
      <w:r>
        <w:rPr>
          <w:rFonts w:hint="eastAsia" w:ascii="仿宋_GB2312" w:hAnsi="仿宋_GB2312" w:eastAsia="仿宋_GB2312" w:cs="仿宋_GB2312"/>
          <w:color w:val="auto"/>
          <w:sz w:val="32"/>
          <w:szCs w:val="32"/>
        </w:rPr>
        <w:t>2024年度绩效目标的设立依据</w:t>
      </w:r>
      <w:r>
        <w:rPr>
          <w:rFonts w:hint="eastAsia" w:ascii="仿宋_GB2312" w:hAnsi="仿宋_GB2312" w:eastAsia="仿宋_GB2312" w:cs="仿宋_GB2312"/>
          <w:color w:val="auto"/>
          <w:sz w:val="32"/>
          <w:szCs w:val="32"/>
          <w:lang w:val="en-US" w:eastAsia="zh-CN"/>
        </w:rPr>
        <w:t>主要是</w:t>
      </w:r>
      <w:r>
        <w:rPr>
          <w:rFonts w:hint="eastAsia" w:ascii="仿宋_GB2312" w:hAnsi="仿宋_GB2312" w:eastAsia="仿宋_GB2312" w:cs="仿宋_GB2312"/>
          <w:color w:val="auto"/>
          <w:sz w:val="32"/>
          <w:szCs w:val="32"/>
        </w:rPr>
        <w:t>机构职责</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工作任务。目标与职责任务匹配，覆盖了</w:t>
      </w:r>
      <w:r>
        <w:rPr>
          <w:rFonts w:hint="eastAsia" w:ascii="仿宋_GB2312" w:hAnsi="仿宋_GB2312" w:eastAsia="仿宋_GB2312" w:cs="仿宋_GB2312"/>
          <w:color w:val="auto"/>
          <w:sz w:val="32"/>
          <w:szCs w:val="32"/>
          <w:lang w:val="en-US" w:eastAsia="zh-CN"/>
        </w:rPr>
        <w:t>管理、服务、执法保障等</w:t>
      </w:r>
      <w:r>
        <w:rPr>
          <w:rFonts w:hint="eastAsia" w:ascii="仿宋_GB2312" w:hAnsi="仿宋_GB2312" w:eastAsia="仿宋_GB2312" w:cs="仿宋_GB2312"/>
          <w:color w:val="auto"/>
          <w:sz w:val="32"/>
          <w:szCs w:val="32"/>
        </w:rPr>
        <w:t>核心工作，但部分指标设定</w:t>
      </w:r>
      <w:r>
        <w:rPr>
          <w:rFonts w:hint="eastAsia" w:ascii="仿宋_GB2312" w:hAnsi="仿宋_GB2312" w:eastAsia="仿宋_GB2312" w:cs="仿宋_GB2312"/>
          <w:color w:val="auto"/>
          <w:sz w:val="32"/>
          <w:szCs w:val="32"/>
          <w:lang w:val="en-US" w:eastAsia="zh-CN"/>
        </w:rPr>
        <w:t>完整程度和</w:t>
      </w:r>
      <w:r>
        <w:rPr>
          <w:rFonts w:hint="eastAsia" w:ascii="仿宋_GB2312" w:hAnsi="仿宋_GB2312" w:eastAsia="仿宋_GB2312" w:cs="仿宋_GB2312"/>
          <w:color w:val="auto"/>
          <w:sz w:val="32"/>
          <w:szCs w:val="32"/>
        </w:rPr>
        <w:t>细化程度不足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如</w:t>
      </w:r>
      <w:r>
        <w:rPr>
          <w:rFonts w:hint="eastAsia" w:ascii="仿宋_GB2312" w:hAnsi="仿宋_GB2312" w:eastAsia="仿宋_GB2312" w:cs="仿宋_GB2312"/>
          <w:color w:val="auto"/>
          <w:sz w:val="32"/>
          <w:szCs w:val="32"/>
          <w:lang w:val="en-US" w:eastAsia="zh-CN"/>
        </w:rPr>
        <w:t>数量指标未细化、未设置</w:t>
      </w:r>
      <w:r>
        <w:rPr>
          <w:rFonts w:hint="eastAsia" w:ascii="仿宋_GB2312" w:hAnsi="仿宋_GB2312" w:eastAsia="仿宋_GB2312" w:cs="仿宋_GB2312"/>
          <w:color w:val="auto"/>
          <w:sz w:val="32"/>
          <w:szCs w:val="32"/>
        </w:rPr>
        <w:t>质量</w:t>
      </w:r>
      <w:r>
        <w:rPr>
          <w:rFonts w:hint="eastAsia" w:ascii="仿宋_GB2312" w:hAnsi="仿宋_GB2312" w:eastAsia="仿宋_GB2312" w:cs="仿宋_GB2312"/>
          <w:color w:val="auto"/>
          <w:sz w:val="32"/>
          <w:szCs w:val="32"/>
          <w:lang w:val="en-US" w:eastAsia="zh-CN"/>
        </w:rPr>
        <w:t>指标和社会效益指标</w:t>
      </w:r>
      <w:r>
        <w:rPr>
          <w:rFonts w:hint="eastAsia" w:ascii="仿宋_GB2312" w:hAnsi="仿宋_GB2312" w:eastAsia="仿宋_GB2312" w:cs="仿宋_GB2312"/>
          <w:color w:val="auto"/>
          <w:sz w:val="32"/>
          <w:szCs w:val="32"/>
        </w:rPr>
        <w:t>；时效指标设定“</w:t>
      </w:r>
      <w:r>
        <w:rPr>
          <w:rFonts w:hint="eastAsia" w:ascii="仿宋_GB2312" w:hAnsi="仿宋_GB2312" w:eastAsia="仿宋_GB2312" w:cs="仿宋_GB2312"/>
          <w:color w:val="auto"/>
          <w:sz w:val="32"/>
          <w:szCs w:val="32"/>
          <w:lang w:val="en-US" w:eastAsia="zh-CN"/>
        </w:rPr>
        <w:t>=12月</w:t>
      </w:r>
      <w:r>
        <w:rPr>
          <w:rFonts w:hint="eastAsia" w:ascii="仿宋_GB2312" w:hAnsi="仿宋_GB2312" w:eastAsia="仿宋_GB2312" w:cs="仿宋_GB2312"/>
          <w:color w:val="auto"/>
          <w:sz w:val="32"/>
          <w:szCs w:val="32"/>
        </w:rPr>
        <w:t>”，缺乏阶段性目标和细化节点，</w:t>
      </w:r>
      <w:r>
        <w:rPr>
          <w:rFonts w:hint="eastAsia" w:ascii="仿宋_GB2312" w:hAnsi="仿宋_GB2312" w:eastAsia="仿宋_GB2312" w:cs="仿宋_GB2312"/>
          <w:color w:val="auto"/>
          <w:sz w:val="32"/>
          <w:szCs w:val="32"/>
          <w:lang w:val="en-US" w:eastAsia="zh-CN"/>
        </w:rPr>
        <w:t>难以</w:t>
      </w:r>
      <w:r>
        <w:rPr>
          <w:rFonts w:hint="eastAsia" w:ascii="仿宋_GB2312" w:hAnsi="仿宋_GB2312" w:eastAsia="仿宋_GB2312" w:cs="仿宋_GB2312"/>
          <w:color w:val="auto"/>
          <w:sz w:val="32"/>
          <w:szCs w:val="32"/>
        </w:rPr>
        <w:t>精准追踪进度；为确保绩效目标与职责任务精准对应，指标设定与具体任务的衔接仍需优化</w:t>
      </w:r>
      <w:r>
        <w:rPr>
          <w:rFonts w:hint="eastAsia" w:ascii="仿宋_GB2312" w:hAnsi="宋体" w:eastAsia="仿宋_GB2312" w:cs="宋体"/>
          <w:color w:val="000000"/>
          <w:kern w:val="0"/>
          <w:sz w:val="32"/>
          <w:szCs w:val="32"/>
        </w:rPr>
        <w:t>。</w:t>
      </w:r>
    </w:p>
    <w:p>
      <w:pPr>
        <w:numPr>
          <w:ilvl w:val="-1"/>
          <w:numId w:val="0"/>
        </w:numPr>
        <w:spacing w:line="560" w:lineRule="exact"/>
        <w:ind w:left="0" w:leftChars="0" w:firstLine="640" w:firstLineChars="200"/>
        <w:rPr>
          <w:rFonts w:hint="eastAsia" w:ascii="仿宋_GB2312" w:hAnsi="仿宋_GB2312" w:eastAsia="仿宋_GB2312" w:cs="仿宋_GB2312"/>
          <w:color w:val="auto"/>
          <w:sz w:val="32"/>
          <w:szCs w:val="32"/>
        </w:rPr>
      </w:pPr>
    </w:p>
    <w:p>
      <w:pPr>
        <w:spacing w:line="560" w:lineRule="exact"/>
        <w:ind w:firstLine="640" w:firstLineChars="200"/>
        <w:outlineLvl w:val="0"/>
        <w:rPr>
          <w:rFonts w:hint="eastAsia" w:ascii="黑体" w:hAnsi="黑体" w:eastAsia="黑体" w:cs="宋体"/>
          <w:color w:val="auto"/>
          <w:kern w:val="0"/>
          <w:sz w:val="32"/>
          <w:szCs w:val="32"/>
          <w:lang w:val="en-US" w:eastAsia="zh-CN"/>
        </w:rPr>
      </w:pPr>
      <w:bookmarkStart w:id="11" w:name="_Toc21322"/>
      <w:bookmarkStart w:id="12" w:name="_Toc16367"/>
      <w:bookmarkStart w:id="13" w:name="_Toc21403"/>
      <w:r>
        <w:rPr>
          <w:rFonts w:hint="eastAsia" w:ascii="黑体" w:hAnsi="黑体" w:eastAsia="黑体" w:cs="宋体"/>
          <w:color w:val="auto"/>
          <w:kern w:val="0"/>
          <w:sz w:val="32"/>
          <w:szCs w:val="32"/>
        </w:rPr>
        <w:t>二</w:t>
      </w:r>
      <w:r>
        <w:rPr>
          <w:rFonts w:ascii="黑体" w:hAnsi="黑体" w:eastAsia="黑体" w:cs="宋体"/>
          <w:color w:val="auto"/>
          <w:kern w:val="0"/>
          <w:sz w:val="32"/>
          <w:szCs w:val="32"/>
        </w:rPr>
        <w:t>、</w:t>
      </w:r>
      <w:r>
        <w:rPr>
          <w:rFonts w:hint="eastAsia" w:ascii="黑体" w:hAnsi="黑体" w:eastAsia="黑体" w:cs="宋体"/>
          <w:color w:val="auto"/>
          <w:kern w:val="0"/>
          <w:sz w:val="32"/>
          <w:szCs w:val="32"/>
        </w:rPr>
        <w:t>当年</w:t>
      </w:r>
      <w:r>
        <w:rPr>
          <w:rFonts w:ascii="黑体" w:hAnsi="黑体" w:eastAsia="黑体" w:cs="宋体"/>
          <w:color w:val="auto"/>
          <w:kern w:val="0"/>
          <w:sz w:val="32"/>
          <w:szCs w:val="32"/>
        </w:rPr>
        <w:t>预算执行情况</w:t>
      </w:r>
      <w:bookmarkEnd w:id="11"/>
      <w:bookmarkEnd w:id="12"/>
      <w:bookmarkEnd w:id="13"/>
    </w:p>
    <w:p>
      <w:pPr>
        <w:spacing w:line="56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2024年</w:t>
      </w:r>
      <w:r>
        <w:rPr>
          <w:rFonts w:hint="eastAsia" w:ascii="仿宋_GB2312" w:hAnsi="宋体" w:eastAsia="仿宋_GB2312" w:cs="宋体"/>
          <w:color w:val="auto"/>
          <w:kern w:val="0"/>
          <w:sz w:val="32"/>
          <w:szCs w:val="32"/>
          <w:lang w:val="en-US" w:eastAsia="zh-CN"/>
        </w:rPr>
        <w:t>全年</w:t>
      </w:r>
      <w:r>
        <w:rPr>
          <w:rFonts w:hint="eastAsia" w:ascii="仿宋_GB2312" w:hAnsi="宋体" w:eastAsia="仿宋_GB2312" w:cs="宋体"/>
          <w:color w:val="auto"/>
          <w:kern w:val="0"/>
          <w:sz w:val="32"/>
          <w:szCs w:val="32"/>
        </w:rPr>
        <w:t>预算数64</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249</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97万元</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其中</w:t>
      </w:r>
      <w:r>
        <w:rPr>
          <w:rFonts w:ascii="仿宋_GB2312" w:hAnsi="宋体" w:eastAsia="仿宋_GB2312" w:cs="宋体"/>
          <w:color w:val="auto"/>
          <w:kern w:val="0"/>
          <w:sz w:val="32"/>
          <w:szCs w:val="32"/>
        </w:rPr>
        <w:t>，基本</w:t>
      </w:r>
      <w:r>
        <w:rPr>
          <w:rFonts w:hint="eastAsia" w:ascii="仿宋_GB2312" w:hAnsi="宋体" w:eastAsia="仿宋_GB2312" w:cs="宋体"/>
          <w:color w:val="auto"/>
          <w:kern w:val="0"/>
          <w:sz w:val="32"/>
          <w:szCs w:val="32"/>
        </w:rPr>
        <w:t>支出</w:t>
      </w:r>
      <w:r>
        <w:rPr>
          <w:rFonts w:ascii="仿宋_GB2312" w:hAnsi="宋体" w:eastAsia="仿宋_GB2312" w:cs="宋体"/>
          <w:color w:val="auto"/>
          <w:kern w:val="0"/>
          <w:sz w:val="32"/>
          <w:szCs w:val="32"/>
        </w:rPr>
        <w:t>预算数</w:t>
      </w:r>
      <w:r>
        <w:rPr>
          <w:rFonts w:hint="eastAsia" w:ascii="仿宋_GB2312" w:hAnsi="宋体" w:eastAsia="仿宋_GB2312" w:cs="宋体"/>
          <w:color w:val="auto"/>
          <w:kern w:val="0"/>
          <w:sz w:val="32"/>
          <w:szCs w:val="32"/>
        </w:rPr>
        <w:t>25</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599</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63</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项目支出预算数 38</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650</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3</w:t>
      </w:r>
      <w:r>
        <w:rPr>
          <w:rFonts w:hint="eastAsia" w:ascii="仿宋_GB2312" w:hAnsi="宋体" w:eastAsia="仿宋_GB2312" w:cs="宋体"/>
          <w:color w:val="auto"/>
          <w:kern w:val="0"/>
          <w:sz w:val="32"/>
          <w:szCs w:val="32"/>
          <w:lang w:val="en-US" w:eastAsia="zh-CN"/>
        </w:rPr>
        <w:t>4</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全年</w:t>
      </w:r>
      <w:r>
        <w:rPr>
          <w:rFonts w:hint="eastAsia" w:ascii="仿宋_GB2312" w:hAnsi="宋体" w:eastAsia="仿宋_GB2312" w:cs="宋体"/>
          <w:color w:val="auto"/>
          <w:kern w:val="0"/>
          <w:sz w:val="32"/>
          <w:szCs w:val="32"/>
        </w:rPr>
        <w:t>支出57</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876</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85</w:t>
      </w:r>
      <w:r>
        <w:rPr>
          <w:rFonts w:ascii="仿宋_GB2312" w:hAnsi="宋体" w:eastAsia="仿宋_GB2312" w:cs="宋体"/>
          <w:color w:val="auto"/>
          <w:kern w:val="0"/>
          <w:sz w:val="32"/>
          <w:szCs w:val="32"/>
        </w:rPr>
        <w:t>万元，其中，基本支出</w:t>
      </w:r>
      <w:r>
        <w:rPr>
          <w:rFonts w:hint="eastAsia" w:ascii="仿宋_GB2312" w:hAnsi="宋体" w:eastAsia="仿宋_GB2312" w:cs="宋体"/>
          <w:color w:val="auto"/>
          <w:kern w:val="0"/>
          <w:sz w:val="32"/>
          <w:szCs w:val="32"/>
        </w:rPr>
        <w:t>24</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203</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28</w:t>
      </w:r>
      <w:r>
        <w:rPr>
          <w:rFonts w:ascii="仿宋_GB2312" w:hAnsi="宋体" w:eastAsia="仿宋_GB2312" w:cs="宋体"/>
          <w:color w:val="auto"/>
          <w:kern w:val="0"/>
          <w:sz w:val="32"/>
          <w:szCs w:val="32"/>
        </w:rPr>
        <w:t>万元，项目</w:t>
      </w:r>
      <w:r>
        <w:rPr>
          <w:rFonts w:hint="eastAsia" w:ascii="仿宋_GB2312" w:hAnsi="宋体" w:eastAsia="仿宋_GB2312" w:cs="宋体"/>
          <w:color w:val="auto"/>
          <w:kern w:val="0"/>
          <w:sz w:val="32"/>
          <w:szCs w:val="32"/>
        </w:rPr>
        <w:t>支出 33</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673</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5</w:t>
      </w:r>
      <w:r>
        <w:rPr>
          <w:rFonts w:hint="eastAsia" w:ascii="仿宋_GB2312" w:hAnsi="宋体" w:eastAsia="仿宋_GB2312" w:cs="宋体"/>
          <w:color w:val="auto"/>
          <w:kern w:val="0"/>
          <w:sz w:val="32"/>
          <w:szCs w:val="32"/>
          <w:lang w:val="en-US" w:eastAsia="zh-CN"/>
        </w:rPr>
        <w:t>7</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预算</w:t>
      </w:r>
      <w:r>
        <w:rPr>
          <w:rFonts w:ascii="仿宋_GB2312" w:hAnsi="宋体" w:eastAsia="仿宋_GB2312" w:cs="宋体"/>
          <w:color w:val="auto"/>
          <w:kern w:val="0"/>
          <w:sz w:val="32"/>
          <w:szCs w:val="32"/>
        </w:rPr>
        <w:t>执行率为</w:t>
      </w:r>
      <w:r>
        <w:rPr>
          <w:rFonts w:hint="eastAsia" w:ascii="仿宋_GB2312" w:hAnsi="宋体" w:eastAsia="仿宋_GB2312" w:cs="宋体"/>
          <w:color w:val="auto"/>
          <w:kern w:val="0"/>
          <w:sz w:val="32"/>
          <w:szCs w:val="32"/>
          <w:lang w:val="en-US" w:eastAsia="zh-CN"/>
        </w:rPr>
        <w:t>90.08</w:t>
      </w:r>
      <w:r>
        <w:rPr>
          <w:rFonts w:hint="eastAsia" w:ascii="仿宋_GB2312" w:hAnsi="宋体" w:eastAsia="仿宋_GB2312" w:cs="宋体"/>
          <w:color w:val="auto"/>
          <w:kern w:val="0"/>
          <w:sz w:val="32"/>
          <w:szCs w:val="32"/>
        </w:rPr>
        <w:t>%。</w:t>
      </w:r>
    </w:p>
    <w:p>
      <w:pPr>
        <w:spacing w:line="560" w:lineRule="exact"/>
        <w:ind w:left="0" w:leftChars="0" w:firstLine="640" w:firstLineChars="200"/>
        <w:outlineLvl w:val="0"/>
        <w:rPr>
          <w:rFonts w:hint="eastAsia" w:ascii="黑体" w:hAnsi="黑体" w:eastAsia="黑体" w:cs="宋体"/>
          <w:color w:val="auto"/>
          <w:kern w:val="0"/>
          <w:sz w:val="32"/>
          <w:szCs w:val="32"/>
          <w:lang w:val="en-US" w:eastAsia="zh-CN"/>
        </w:rPr>
      </w:pPr>
      <w:bookmarkStart w:id="14" w:name="_Toc20976"/>
      <w:bookmarkStart w:id="15" w:name="_Toc30275"/>
      <w:bookmarkStart w:id="16" w:name="_Toc18076"/>
      <w:r>
        <w:rPr>
          <w:rFonts w:hint="eastAsia" w:ascii="黑体" w:hAnsi="黑体" w:eastAsia="黑体" w:cs="宋体"/>
          <w:color w:val="auto"/>
          <w:kern w:val="0"/>
          <w:sz w:val="32"/>
          <w:szCs w:val="32"/>
        </w:rPr>
        <w:t>三</w:t>
      </w:r>
      <w:r>
        <w:rPr>
          <w:rFonts w:ascii="黑体" w:hAnsi="黑体" w:eastAsia="黑体" w:cs="宋体"/>
          <w:color w:val="auto"/>
          <w:kern w:val="0"/>
          <w:sz w:val="32"/>
          <w:szCs w:val="32"/>
        </w:rPr>
        <w:t>、整体绩效目标实现情况</w:t>
      </w:r>
      <w:bookmarkEnd w:id="14"/>
      <w:bookmarkEnd w:id="15"/>
      <w:bookmarkEnd w:id="16"/>
    </w:p>
    <w:p>
      <w:pPr>
        <w:spacing w:line="560" w:lineRule="exact"/>
        <w:ind w:left="0" w:leftChars="0" w:firstLine="640" w:firstLineChars="200"/>
        <w:outlineLvl w:val="1"/>
        <w:rPr>
          <w:rFonts w:ascii="楷体_GB2312" w:eastAsia="楷体_GB2312"/>
          <w:color w:val="auto"/>
          <w:sz w:val="32"/>
          <w:szCs w:val="32"/>
        </w:rPr>
      </w:pPr>
      <w:bookmarkStart w:id="17" w:name="_Toc15033"/>
      <w:bookmarkStart w:id="18" w:name="_Toc16816"/>
      <w:bookmarkStart w:id="19" w:name="_Toc17108"/>
      <w:r>
        <w:rPr>
          <w:rFonts w:hint="eastAsia" w:ascii="楷体_GB2312" w:eastAsia="楷体_GB2312"/>
          <w:color w:val="auto"/>
          <w:sz w:val="32"/>
          <w:szCs w:val="32"/>
        </w:rPr>
        <w:t>（一）产出完成情况分析</w:t>
      </w:r>
      <w:bookmarkEnd w:id="17"/>
      <w:bookmarkEnd w:id="18"/>
      <w:bookmarkEnd w:id="19"/>
    </w:p>
    <w:p>
      <w:pPr>
        <w:spacing w:line="560" w:lineRule="exact"/>
        <w:ind w:left="0" w:leftChars="0" w:firstLine="640" w:firstLineChars="200"/>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rPr>
        <w:t>1.产出数量</w:t>
      </w:r>
    </w:p>
    <w:p>
      <w:pPr>
        <w:numPr>
          <w:ilvl w:val="-1"/>
          <w:numId w:val="0"/>
        </w:numPr>
        <w:spacing w:line="560" w:lineRule="exact"/>
        <w:ind w:left="0" w:leftChars="0" w:firstLine="640" w:firstLineChars="200"/>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rPr>
        <w:t>该项指标分值10.00分，实际得分</w:t>
      </w:r>
      <w:r>
        <w:rPr>
          <w:rFonts w:hint="eastAsia" w:ascii="仿宋_GB2312" w:hAnsi="宋体" w:eastAsia="仿宋_GB2312" w:cs="宋体"/>
          <w:color w:val="auto"/>
          <w:kern w:val="0"/>
          <w:sz w:val="32"/>
          <w:szCs w:val="32"/>
          <w:lang w:val="en-US" w:eastAsia="zh-CN"/>
        </w:rPr>
        <w:t>10.00</w:t>
      </w:r>
      <w:r>
        <w:rPr>
          <w:rFonts w:hint="eastAsia" w:ascii="仿宋_GB2312" w:hAnsi="宋体" w:eastAsia="仿宋_GB2312" w:cs="宋体"/>
          <w:color w:val="auto"/>
          <w:kern w:val="0"/>
          <w:sz w:val="32"/>
          <w:szCs w:val="32"/>
        </w:rPr>
        <w:t>分。市重点站区管委会202</w:t>
      </w:r>
      <w:r>
        <w:rPr>
          <w:rFonts w:hint="eastAsia" w:ascii="仿宋_GB2312" w:hAnsi="宋体" w:eastAsia="仿宋_GB2312" w:cs="宋体"/>
          <w:color w:val="auto"/>
          <w:kern w:val="0"/>
          <w:sz w:val="32"/>
          <w:szCs w:val="32"/>
          <w:lang w:val="en-US" w:eastAsia="zh-CN"/>
        </w:rPr>
        <w:t>4</w:t>
      </w:r>
      <w:r>
        <w:rPr>
          <w:rFonts w:hint="eastAsia" w:ascii="仿宋_GB2312" w:hAnsi="宋体" w:eastAsia="仿宋_GB2312" w:cs="宋体"/>
          <w:color w:val="auto"/>
          <w:kern w:val="0"/>
          <w:sz w:val="32"/>
          <w:szCs w:val="32"/>
        </w:rPr>
        <w:t>年度申报预算项目</w:t>
      </w:r>
      <w:r>
        <w:rPr>
          <w:rFonts w:hint="eastAsia" w:ascii="仿宋_GB2312" w:hAnsi="宋体" w:eastAsia="仿宋_GB2312" w:cs="宋体"/>
          <w:color w:val="auto"/>
          <w:kern w:val="0"/>
          <w:sz w:val="32"/>
          <w:szCs w:val="32"/>
          <w:lang w:val="en-US" w:eastAsia="zh-CN"/>
        </w:rPr>
        <w:t>21</w:t>
      </w:r>
      <w:r>
        <w:rPr>
          <w:rFonts w:hint="eastAsia" w:ascii="仿宋_GB2312" w:hAnsi="宋体" w:eastAsia="仿宋_GB2312" w:cs="宋体"/>
          <w:color w:val="auto"/>
          <w:kern w:val="0"/>
          <w:sz w:val="32"/>
          <w:szCs w:val="32"/>
        </w:rPr>
        <w:t>个，其中</w:t>
      </w:r>
      <w:r>
        <w:rPr>
          <w:rFonts w:hint="eastAsia" w:ascii="仿宋_GB2312" w:hAnsi="宋体" w:eastAsia="仿宋_GB2312" w:cs="宋体"/>
          <w:color w:val="auto"/>
          <w:kern w:val="0"/>
          <w:sz w:val="32"/>
          <w:szCs w:val="32"/>
          <w:lang w:val="en-US" w:eastAsia="zh-CN"/>
        </w:rPr>
        <w:t>20</w:t>
      </w:r>
      <w:r>
        <w:rPr>
          <w:rFonts w:hint="eastAsia" w:ascii="仿宋_GB2312" w:hAnsi="宋体" w:eastAsia="仿宋_GB2312" w:cs="宋体"/>
          <w:color w:val="auto"/>
          <w:kern w:val="0"/>
          <w:sz w:val="32"/>
          <w:szCs w:val="32"/>
        </w:rPr>
        <w:t>个项目</w:t>
      </w:r>
      <w:r>
        <w:rPr>
          <w:rFonts w:hint="eastAsia" w:ascii="仿宋_GB2312" w:hAnsi="宋体" w:eastAsia="仿宋_GB2312" w:cs="宋体"/>
          <w:color w:val="auto"/>
          <w:kern w:val="0"/>
          <w:sz w:val="32"/>
          <w:szCs w:val="32"/>
          <w:lang w:val="en-US" w:eastAsia="zh-CN"/>
        </w:rPr>
        <w:t>设置了数量指标，均</w:t>
      </w:r>
      <w:r>
        <w:rPr>
          <w:rFonts w:hint="eastAsia" w:ascii="仿宋_GB2312" w:hAnsi="宋体" w:eastAsia="仿宋_GB2312" w:cs="宋体"/>
          <w:color w:val="auto"/>
          <w:kern w:val="0"/>
          <w:sz w:val="32"/>
          <w:szCs w:val="32"/>
        </w:rPr>
        <w:t>按计划完成</w:t>
      </w:r>
      <w:r>
        <w:rPr>
          <w:rFonts w:hint="eastAsia" w:ascii="仿宋_GB2312" w:hAnsi="宋体" w:eastAsia="仿宋_GB2312" w:cs="宋体"/>
          <w:color w:val="auto"/>
          <w:kern w:val="0"/>
          <w:sz w:val="32"/>
          <w:szCs w:val="32"/>
          <w:lang w:val="en-US" w:eastAsia="zh-CN"/>
        </w:rPr>
        <w:t>了北京站、西客站、朝阳站、丰台站等7个站区全年的社会治安、市场秩序、交通秩序、公共卫生、市政公用、应急管理等工作</w:t>
      </w: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各项目均</w:t>
      </w:r>
      <w:r>
        <w:rPr>
          <w:rFonts w:hint="eastAsia" w:ascii="仿宋_GB2312" w:hAnsi="宋体" w:eastAsia="仿宋_GB2312" w:cs="宋体"/>
          <w:color w:val="auto"/>
          <w:kern w:val="0"/>
          <w:sz w:val="32"/>
          <w:szCs w:val="32"/>
        </w:rPr>
        <w:t>实现了预期产出目标。</w:t>
      </w:r>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2.产出</w:t>
      </w:r>
      <w:r>
        <w:rPr>
          <w:rFonts w:ascii="仿宋_GB2312" w:hAnsi="宋体" w:eastAsia="仿宋_GB2312" w:cs="宋体"/>
          <w:color w:val="auto"/>
          <w:kern w:val="0"/>
          <w:sz w:val="32"/>
          <w:szCs w:val="32"/>
        </w:rPr>
        <w:t>质量</w:t>
      </w:r>
    </w:p>
    <w:p>
      <w:pPr>
        <w:spacing w:line="56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该项指标分值10.00分，实际得分10.00分。市重点站区管委会</w:t>
      </w:r>
      <w:r>
        <w:rPr>
          <w:rFonts w:hint="eastAsia" w:ascii="仿宋_GB2312" w:hAnsi="宋体" w:eastAsia="仿宋_GB2312" w:cs="宋体"/>
          <w:color w:val="auto"/>
          <w:kern w:val="0"/>
          <w:sz w:val="32"/>
          <w:szCs w:val="32"/>
          <w:lang w:eastAsia="zh-CN"/>
        </w:rPr>
        <w:t>2024年</w:t>
      </w:r>
      <w:r>
        <w:rPr>
          <w:rFonts w:hint="eastAsia" w:ascii="仿宋_GB2312" w:hAnsi="宋体" w:eastAsia="仿宋_GB2312" w:cs="宋体"/>
          <w:color w:val="auto"/>
          <w:kern w:val="0"/>
          <w:sz w:val="32"/>
          <w:szCs w:val="32"/>
        </w:rPr>
        <w:t>度完成项目</w:t>
      </w:r>
      <w:r>
        <w:rPr>
          <w:rFonts w:hint="eastAsia" w:ascii="仿宋_GB2312" w:hAnsi="宋体" w:eastAsia="仿宋_GB2312" w:cs="宋体"/>
          <w:color w:val="auto"/>
          <w:kern w:val="0"/>
          <w:sz w:val="32"/>
          <w:szCs w:val="32"/>
          <w:lang w:val="en-US" w:eastAsia="zh-CN"/>
        </w:rPr>
        <w:t>21</w:t>
      </w:r>
      <w:r>
        <w:rPr>
          <w:rFonts w:hint="eastAsia" w:ascii="仿宋_GB2312" w:hAnsi="宋体" w:eastAsia="仿宋_GB2312" w:cs="宋体"/>
          <w:color w:val="auto"/>
          <w:kern w:val="0"/>
          <w:sz w:val="32"/>
          <w:szCs w:val="32"/>
        </w:rPr>
        <w:t>个，均已达到质量要求。市重点站区管委会在项目执行过程中建立了项目日常监管办法，并严格按照单位管理制度执行，项目日常监督管理机制健全有效，执行严格，课题评审合格率为100%。</w:t>
      </w:r>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3.产出</w:t>
      </w:r>
      <w:r>
        <w:rPr>
          <w:rFonts w:ascii="仿宋_GB2312" w:hAnsi="宋体" w:eastAsia="仿宋_GB2312" w:cs="宋体"/>
          <w:color w:val="auto"/>
          <w:kern w:val="0"/>
          <w:sz w:val="32"/>
          <w:szCs w:val="32"/>
        </w:rPr>
        <w:t>进度</w:t>
      </w:r>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该项指标分值</w:t>
      </w:r>
      <w:r>
        <w:rPr>
          <w:rFonts w:hint="eastAsia" w:ascii="仿宋_GB2312" w:hAnsi="宋体" w:eastAsia="仿宋_GB2312" w:cs="宋体"/>
          <w:color w:val="auto"/>
          <w:kern w:val="0"/>
          <w:sz w:val="32"/>
          <w:szCs w:val="32"/>
          <w:lang w:val="en-US" w:eastAsia="zh-CN"/>
        </w:rPr>
        <w:t>10</w:t>
      </w:r>
      <w:r>
        <w:rPr>
          <w:rFonts w:hint="eastAsia" w:ascii="仿宋_GB2312" w:hAnsi="宋体" w:eastAsia="仿宋_GB2312" w:cs="宋体"/>
          <w:color w:val="auto"/>
          <w:kern w:val="0"/>
          <w:sz w:val="32"/>
          <w:szCs w:val="32"/>
        </w:rPr>
        <w:t>.00分，实际得分</w:t>
      </w:r>
      <w:r>
        <w:rPr>
          <w:rFonts w:hint="eastAsia" w:ascii="仿宋_GB2312" w:hAnsi="宋体" w:eastAsia="仿宋_GB2312" w:cs="宋体"/>
          <w:color w:val="auto"/>
          <w:kern w:val="0"/>
          <w:sz w:val="32"/>
          <w:szCs w:val="32"/>
          <w:lang w:val="en-US" w:eastAsia="zh-CN"/>
        </w:rPr>
        <w:t>10</w:t>
      </w:r>
      <w:r>
        <w:rPr>
          <w:rFonts w:hint="eastAsia" w:ascii="仿宋_GB2312" w:hAnsi="宋体" w:eastAsia="仿宋_GB2312" w:cs="宋体"/>
          <w:color w:val="auto"/>
          <w:kern w:val="0"/>
          <w:sz w:val="32"/>
          <w:szCs w:val="32"/>
        </w:rPr>
        <w:t>.00分。市重点站区管委会，严格按照年度工作计划推进项目实施，21个项目均按期完成各阶段节点目标。</w:t>
      </w:r>
    </w:p>
    <w:p>
      <w:pPr>
        <w:spacing w:line="560" w:lineRule="exact"/>
        <w:ind w:left="0" w:leftChars="0" w:firstLine="640" w:firstLineChars="200"/>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4.</w:t>
      </w:r>
      <w:r>
        <w:rPr>
          <w:rFonts w:hint="eastAsia" w:ascii="仿宋_GB2312" w:hAnsi="宋体" w:eastAsia="仿宋_GB2312" w:cs="宋体"/>
          <w:color w:val="auto"/>
          <w:kern w:val="0"/>
          <w:sz w:val="32"/>
          <w:szCs w:val="32"/>
        </w:rPr>
        <w:t>产出</w:t>
      </w:r>
      <w:r>
        <w:rPr>
          <w:rFonts w:ascii="仿宋_GB2312" w:hAnsi="宋体" w:eastAsia="仿宋_GB2312" w:cs="宋体"/>
          <w:color w:val="auto"/>
          <w:kern w:val="0"/>
          <w:sz w:val="32"/>
          <w:szCs w:val="32"/>
        </w:rPr>
        <w:t>成本</w:t>
      </w:r>
    </w:p>
    <w:p>
      <w:pPr>
        <w:spacing w:line="560" w:lineRule="exact"/>
        <w:ind w:left="0" w:leftChars="0" w:firstLine="640" w:firstLineChars="200"/>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rPr>
        <w:t>该项指标分值</w:t>
      </w:r>
      <w:r>
        <w:rPr>
          <w:rFonts w:hint="eastAsia" w:ascii="仿宋_GB2312" w:hAnsi="宋体" w:eastAsia="仿宋_GB2312" w:cs="宋体"/>
          <w:color w:val="auto"/>
          <w:kern w:val="0"/>
          <w:sz w:val="32"/>
          <w:szCs w:val="32"/>
          <w:lang w:val="en-US" w:eastAsia="zh-CN"/>
        </w:rPr>
        <w:t>10</w:t>
      </w:r>
      <w:r>
        <w:rPr>
          <w:rFonts w:hint="eastAsia" w:ascii="仿宋_GB2312" w:hAnsi="宋体" w:eastAsia="仿宋_GB2312" w:cs="宋体"/>
          <w:color w:val="auto"/>
          <w:kern w:val="0"/>
          <w:sz w:val="32"/>
          <w:szCs w:val="32"/>
        </w:rPr>
        <w:t>.00分，实际得分</w:t>
      </w:r>
      <w:r>
        <w:rPr>
          <w:rFonts w:hint="eastAsia" w:ascii="仿宋_GB2312" w:hAnsi="宋体" w:eastAsia="仿宋_GB2312" w:cs="宋体"/>
          <w:color w:val="auto"/>
          <w:kern w:val="0"/>
          <w:sz w:val="32"/>
          <w:szCs w:val="32"/>
          <w:lang w:val="en-US" w:eastAsia="zh-CN"/>
        </w:rPr>
        <w:t>10.00</w:t>
      </w:r>
      <w:r>
        <w:rPr>
          <w:rFonts w:hint="eastAsia" w:ascii="仿宋_GB2312" w:hAnsi="宋体" w:eastAsia="仿宋_GB2312" w:cs="宋体"/>
          <w:color w:val="auto"/>
          <w:kern w:val="0"/>
          <w:sz w:val="32"/>
          <w:szCs w:val="32"/>
        </w:rPr>
        <w:t>分。市重点站区管委会实际完成</w:t>
      </w:r>
      <w:r>
        <w:rPr>
          <w:rFonts w:hint="eastAsia" w:ascii="仿宋_GB2312" w:hAnsi="宋体" w:eastAsia="仿宋_GB2312" w:cs="宋体"/>
          <w:color w:val="auto"/>
          <w:kern w:val="0"/>
          <w:sz w:val="32"/>
          <w:szCs w:val="32"/>
          <w:lang w:val="en-US" w:eastAsia="zh-CN"/>
        </w:rPr>
        <w:t>21</w:t>
      </w:r>
      <w:r>
        <w:rPr>
          <w:rFonts w:hint="eastAsia" w:ascii="仿宋_GB2312" w:hAnsi="宋体" w:eastAsia="仿宋_GB2312" w:cs="宋体"/>
          <w:color w:val="auto"/>
          <w:kern w:val="0"/>
          <w:sz w:val="32"/>
          <w:szCs w:val="32"/>
        </w:rPr>
        <w:t>个项目，</w:t>
      </w:r>
      <w:r>
        <w:rPr>
          <w:rFonts w:hint="eastAsia" w:ascii="仿宋_GB2312" w:hAnsi="宋体" w:eastAsia="仿宋_GB2312" w:cs="宋体"/>
          <w:color w:val="auto"/>
          <w:kern w:val="0"/>
          <w:sz w:val="32"/>
          <w:szCs w:val="32"/>
          <w:lang w:val="en-US" w:eastAsia="zh-CN"/>
        </w:rPr>
        <w:t>成本控制较为有效，</w:t>
      </w:r>
      <w:r>
        <w:rPr>
          <w:rFonts w:hint="eastAsia" w:ascii="仿宋_GB2312" w:hAnsi="宋体" w:eastAsia="仿宋_GB2312" w:cs="宋体"/>
          <w:color w:val="auto"/>
          <w:kern w:val="0"/>
          <w:sz w:val="32"/>
          <w:szCs w:val="32"/>
        </w:rPr>
        <w:t>已完成</w:t>
      </w:r>
      <w:r>
        <w:rPr>
          <w:rFonts w:hint="eastAsia" w:ascii="仿宋_GB2312" w:hAnsi="宋体" w:eastAsia="仿宋_GB2312" w:cs="宋体"/>
          <w:color w:val="auto"/>
          <w:kern w:val="0"/>
          <w:sz w:val="32"/>
          <w:szCs w:val="32"/>
          <w:lang w:val="en-US" w:eastAsia="zh-CN"/>
        </w:rPr>
        <w:t>各项产出成本指标</w:t>
      </w:r>
      <w:r>
        <w:rPr>
          <w:rFonts w:hint="eastAsia" w:ascii="仿宋_GB2312" w:hAnsi="宋体" w:eastAsia="仿宋_GB2312" w:cs="宋体"/>
          <w:color w:val="auto"/>
          <w:kern w:val="0"/>
          <w:sz w:val="32"/>
          <w:szCs w:val="32"/>
          <w:lang w:eastAsia="zh-CN"/>
        </w:rPr>
        <w:t>。</w:t>
      </w:r>
    </w:p>
    <w:p>
      <w:pPr>
        <w:numPr>
          <w:ilvl w:val="0"/>
          <w:numId w:val="1"/>
        </w:numPr>
        <w:spacing w:line="560" w:lineRule="exact"/>
        <w:ind w:left="0" w:leftChars="0" w:firstLine="640" w:firstLineChars="200"/>
        <w:outlineLvl w:val="1"/>
        <w:rPr>
          <w:rFonts w:hint="eastAsia" w:ascii="楷体_GB2312" w:eastAsia="楷体_GB2312"/>
          <w:color w:val="auto"/>
          <w:sz w:val="32"/>
          <w:szCs w:val="32"/>
          <w:lang w:eastAsia="zh-CN"/>
        </w:rPr>
      </w:pPr>
      <w:bookmarkStart w:id="20" w:name="_Toc24627"/>
      <w:bookmarkStart w:id="21" w:name="_Toc23581"/>
      <w:bookmarkStart w:id="22" w:name="_Toc5456"/>
      <w:r>
        <w:rPr>
          <w:rFonts w:hint="eastAsia" w:ascii="楷体_GB2312" w:eastAsia="楷体_GB2312"/>
          <w:color w:val="auto"/>
          <w:sz w:val="32"/>
          <w:szCs w:val="32"/>
        </w:rPr>
        <w:t>效果</w:t>
      </w:r>
      <w:r>
        <w:rPr>
          <w:rFonts w:ascii="楷体_GB2312" w:eastAsia="楷体_GB2312"/>
          <w:color w:val="auto"/>
          <w:sz w:val="32"/>
          <w:szCs w:val="32"/>
        </w:rPr>
        <w:t>实现情况分析</w:t>
      </w:r>
      <w:bookmarkEnd w:id="20"/>
      <w:bookmarkEnd w:id="21"/>
      <w:bookmarkEnd w:id="22"/>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1.社会效益</w:t>
      </w:r>
    </w:p>
    <w:p>
      <w:pPr>
        <w:spacing w:line="560" w:lineRule="exact"/>
        <w:ind w:left="0" w:leftChars="0" w:firstLine="640" w:firstLineChars="200"/>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rPr>
        <w:t>该项指标分值10.00分，实际得分8.00分。</w:t>
      </w:r>
      <w:r>
        <w:rPr>
          <w:rFonts w:hint="eastAsia" w:ascii="仿宋_GB2312" w:hAnsi="宋体" w:eastAsia="仿宋_GB2312" w:cs="宋体"/>
          <w:color w:val="auto"/>
          <w:kern w:val="0"/>
          <w:sz w:val="32"/>
          <w:szCs w:val="32"/>
          <w:lang w:eastAsia="zh-CN"/>
        </w:rPr>
        <w:t>2024年，在</w:t>
      </w:r>
      <w:r>
        <w:rPr>
          <w:rFonts w:hint="eastAsia" w:ascii="仿宋_GB2312" w:hAnsi="宋体" w:eastAsia="仿宋_GB2312" w:cs="宋体"/>
          <w:color w:val="auto"/>
          <w:kern w:val="0"/>
          <w:sz w:val="32"/>
          <w:szCs w:val="32"/>
          <w:lang w:val="en-US" w:eastAsia="zh-CN"/>
        </w:rPr>
        <w:t>北京</w:t>
      </w:r>
      <w:r>
        <w:rPr>
          <w:rFonts w:hint="eastAsia" w:ascii="仿宋_GB2312" w:hAnsi="宋体" w:eastAsia="仿宋_GB2312" w:cs="宋体"/>
          <w:color w:val="auto"/>
          <w:kern w:val="0"/>
          <w:sz w:val="32"/>
          <w:szCs w:val="32"/>
          <w:lang w:eastAsia="zh-CN"/>
        </w:rPr>
        <w:t>市委、市政府领导下，重点站区管委会主动服务和融入首都高质量发展大局，锚定打造“进京最美第一印象”工作目标，高标准完成重点时期保障任务，全力推动“七站”优化提升落地见效，主动介入“两场一枢纽”综合协调服务，坚决守牢安全运行底线，扎实开展党纪学习教育，累计服务保障铁路、民航的客流约4.3亿人次，首都门户窗口地区形象和旅客出行服务体验得到持续优化提升，</w:t>
      </w:r>
      <w:r>
        <w:rPr>
          <w:rFonts w:hint="eastAsia" w:ascii="仿宋_GB2312" w:hAnsi="宋体" w:eastAsia="仿宋_GB2312" w:cs="宋体"/>
          <w:color w:val="auto"/>
          <w:kern w:val="0"/>
          <w:sz w:val="32"/>
          <w:szCs w:val="32"/>
          <w:lang w:val="en-US" w:eastAsia="zh-CN"/>
        </w:rPr>
        <w:t>社会效益显著。</w:t>
      </w:r>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2</w:t>
      </w:r>
      <w:r>
        <w:rPr>
          <w:rFonts w:hint="eastAsia" w:ascii="仿宋_GB2312" w:hAnsi="宋体" w:eastAsia="仿宋_GB2312" w:cs="宋体"/>
          <w:color w:val="auto"/>
          <w:kern w:val="0"/>
          <w:sz w:val="32"/>
          <w:szCs w:val="32"/>
        </w:rPr>
        <w:t>.服务对象</w:t>
      </w:r>
      <w:r>
        <w:rPr>
          <w:rFonts w:ascii="仿宋_GB2312" w:hAnsi="宋体" w:eastAsia="仿宋_GB2312" w:cs="宋体"/>
          <w:color w:val="auto"/>
          <w:kern w:val="0"/>
          <w:sz w:val="32"/>
          <w:szCs w:val="32"/>
        </w:rPr>
        <w:t>满意度</w:t>
      </w:r>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该项指标分值</w:t>
      </w:r>
      <w:r>
        <w:rPr>
          <w:rFonts w:hint="eastAsia" w:ascii="仿宋_GB2312" w:hAnsi="宋体" w:eastAsia="仿宋_GB2312" w:cs="宋体"/>
          <w:color w:val="auto"/>
          <w:kern w:val="0"/>
          <w:sz w:val="32"/>
          <w:szCs w:val="32"/>
          <w:lang w:val="en-US" w:eastAsia="zh-CN"/>
        </w:rPr>
        <w:t>10</w:t>
      </w:r>
      <w:r>
        <w:rPr>
          <w:rFonts w:hint="eastAsia" w:ascii="仿宋_GB2312" w:hAnsi="宋体" w:eastAsia="仿宋_GB2312" w:cs="宋体"/>
          <w:color w:val="auto"/>
          <w:kern w:val="0"/>
          <w:sz w:val="32"/>
          <w:szCs w:val="32"/>
        </w:rPr>
        <w:t>.00分，实际得分</w:t>
      </w:r>
      <w:r>
        <w:rPr>
          <w:rFonts w:hint="eastAsia" w:ascii="仿宋_GB2312" w:hAnsi="宋体" w:eastAsia="仿宋_GB2312" w:cs="宋体"/>
          <w:color w:val="auto"/>
          <w:kern w:val="0"/>
          <w:sz w:val="32"/>
          <w:szCs w:val="32"/>
          <w:lang w:val="en-US" w:eastAsia="zh-CN"/>
        </w:rPr>
        <w:t>7</w:t>
      </w:r>
      <w:r>
        <w:rPr>
          <w:rFonts w:hint="eastAsia" w:ascii="仿宋_GB2312" w:hAnsi="宋体" w:eastAsia="仿宋_GB2312" w:cs="宋体"/>
          <w:color w:val="auto"/>
          <w:kern w:val="0"/>
          <w:sz w:val="32"/>
          <w:szCs w:val="32"/>
        </w:rPr>
        <w:t>.00分。</w:t>
      </w:r>
      <w:r>
        <w:rPr>
          <w:rFonts w:hint="eastAsia" w:ascii="仿宋_GB2312" w:hAnsi="宋体" w:eastAsia="仿宋_GB2312" w:cs="宋体"/>
          <w:color w:val="auto"/>
          <w:kern w:val="0"/>
          <w:sz w:val="32"/>
          <w:szCs w:val="32"/>
          <w:lang w:eastAsia="zh-CN"/>
        </w:rPr>
        <w:t>2024年</w:t>
      </w:r>
      <w:r>
        <w:rPr>
          <w:rFonts w:hint="eastAsia" w:ascii="仿宋_GB2312" w:hAnsi="宋体" w:eastAsia="仿宋_GB2312" w:cs="宋体"/>
          <w:color w:val="auto"/>
          <w:kern w:val="0"/>
          <w:sz w:val="32"/>
          <w:szCs w:val="32"/>
        </w:rPr>
        <w:t>度市重点站区管委会旅客满意度</w:t>
      </w:r>
      <w:r>
        <w:rPr>
          <w:rFonts w:hint="eastAsia" w:ascii="仿宋_GB2312" w:hAnsi="宋体" w:eastAsia="仿宋_GB2312" w:cs="宋体"/>
          <w:color w:val="auto"/>
          <w:kern w:val="0"/>
          <w:sz w:val="32"/>
          <w:szCs w:val="32"/>
          <w:lang w:val="en-US" w:eastAsia="zh-CN"/>
        </w:rPr>
        <w:t>为</w:t>
      </w:r>
      <w:r>
        <w:rPr>
          <w:rFonts w:hint="eastAsia" w:ascii="仿宋_GB2312" w:hAnsi="宋体" w:eastAsia="仿宋_GB2312" w:cs="宋体"/>
          <w:color w:val="auto"/>
          <w:kern w:val="0"/>
          <w:sz w:val="32"/>
          <w:szCs w:val="32"/>
        </w:rPr>
        <w:t>90%</w:t>
      </w:r>
      <w:r>
        <w:rPr>
          <w:rFonts w:hint="eastAsia" w:ascii="仿宋_GB2312" w:hAnsi="宋体" w:eastAsia="仿宋_GB2312" w:cs="宋体"/>
          <w:color w:val="auto"/>
          <w:kern w:val="0"/>
          <w:sz w:val="32"/>
          <w:szCs w:val="32"/>
          <w:lang w:eastAsia="zh-CN"/>
        </w:rPr>
        <w:t>。重点站区管委会</w:t>
      </w:r>
      <w:r>
        <w:rPr>
          <w:rFonts w:hint="eastAsia" w:ascii="仿宋_GB2312" w:hAnsi="宋体" w:eastAsia="仿宋_GB2312" w:cs="宋体"/>
          <w:color w:val="auto"/>
          <w:kern w:val="0"/>
          <w:sz w:val="32"/>
          <w:szCs w:val="32"/>
          <w:lang w:val="en-US" w:eastAsia="zh-CN"/>
        </w:rPr>
        <w:t>为</w:t>
      </w:r>
      <w:r>
        <w:rPr>
          <w:rFonts w:hint="eastAsia" w:ascii="仿宋_GB2312" w:hAnsi="宋体" w:eastAsia="仿宋_GB2312" w:cs="宋体"/>
          <w:color w:val="auto"/>
          <w:kern w:val="0"/>
          <w:sz w:val="32"/>
          <w:szCs w:val="32"/>
        </w:rPr>
        <w:t>旅客出行</w:t>
      </w:r>
      <w:r>
        <w:rPr>
          <w:rFonts w:hint="eastAsia" w:ascii="仿宋_GB2312" w:hAnsi="宋体" w:eastAsia="仿宋_GB2312" w:cs="宋体"/>
          <w:color w:val="auto"/>
          <w:kern w:val="0"/>
          <w:sz w:val="32"/>
          <w:szCs w:val="32"/>
          <w:lang w:val="en-US" w:eastAsia="zh-CN"/>
        </w:rPr>
        <w:t>提供了优质</w:t>
      </w:r>
      <w:r>
        <w:rPr>
          <w:rFonts w:hint="eastAsia" w:ascii="仿宋_GB2312" w:hAnsi="宋体" w:eastAsia="仿宋_GB2312" w:cs="宋体"/>
          <w:color w:val="auto"/>
          <w:kern w:val="0"/>
          <w:sz w:val="32"/>
          <w:szCs w:val="32"/>
        </w:rPr>
        <w:t>服务，后续</w:t>
      </w:r>
      <w:r>
        <w:rPr>
          <w:rFonts w:hint="eastAsia" w:ascii="仿宋_GB2312" w:hAnsi="宋体" w:eastAsia="仿宋_GB2312" w:cs="宋体"/>
          <w:color w:val="auto"/>
          <w:kern w:val="0"/>
          <w:sz w:val="32"/>
          <w:szCs w:val="32"/>
          <w:lang w:val="en-US" w:eastAsia="zh-CN"/>
        </w:rPr>
        <w:t>将</w:t>
      </w:r>
      <w:r>
        <w:rPr>
          <w:rFonts w:hint="eastAsia" w:ascii="仿宋_GB2312" w:hAnsi="宋体" w:eastAsia="仿宋_GB2312" w:cs="宋体"/>
          <w:color w:val="auto"/>
          <w:kern w:val="0"/>
          <w:sz w:val="32"/>
          <w:szCs w:val="32"/>
        </w:rPr>
        <w:t>进一步细化服务标准、强化执行监督，确保旅客满意度持续提高。</w:t>
      </w:r>
    </w:p>
    <w:p>
      <w:pPr>
        <w:spacing w:line="560" w:lineRule="exact"/>
        <w:ind w:left="0" w:leftChars="0" w:firstLine="640" w:firstLineChars="200"/>
        <w:outlineLvl w:val="0"/>
        <w:rPr>
          <w:rFonts w:ascii="黑体" w:hAnsi="黑体" w:eastAsia="黑体" w:cs="宋体"/>
          <w:color w:val="auto"/>
          <w:kern w:val="0"/>
          <w:sz w:val="32"/>
          <w:szCs w:val="32"/>
        </w:rPr>
      </w:pPr>
      <w:bookmarkStart w:id="23" w:name="_Toc28342"/>
      <w:bookmarkStart w:id="24" w:name="_Toc27235"/>
      <w:bookmarkStart w:id="25" w:name="_Toc16360"/>
      <w:r>
        <w:rPr>
          <w:rFonts w:hint="eastAsia" w:ascii="黑体" w:hAnsi="黑体" w:eastAsia="黑体" w:cs="宋体"/>
          <w:color w:val="auto"/>
          <w:kern w:val="0"/>
          <w:sz w:val="32"/>
          <w:szCs w:val="32"/>
        </w:rPr>
        <w:t>四</w:t>
      </w:r>
      <w:r>
        <w:rPr>
          <w:rFonts w:ascii="黑体" w:hAnsi="黑体" w:eastAsia="黑体" w:cs="宋体"/>
          <w:color w:val="auto"/>
          <w:kern w:val="0"/>
          <w:sz w:val="32"/>
          <w:szCs w:val="32"/>
        </w:rPr>
        <w:t>、预算管理</w:t>
      </w:r>
      <w:r>
        <w:rPr>
          <w:rFonts w:hint="eastAsia" w:ascii="黑体" w:hAnsi="黑体" w:eastAsia="黑体" w:cs="宋体"/>
          <w:color w:val="auto"/>
          <w:kern w:val="0"/>
          <w:sz w:val="32"/>
          <w:szCs w:val="32"/>
        </w:rPr>
        <w:t>情况分</w:t>
      </w:r>
      <w:r>
        <w:rPr>
          <w:rFonts w:ascii="黑体" w:hAnsi="黑体" w:eastAsia="黑体" w:cs="宋体"/>
          <w:color w:val="auto"/>
          <w:kern w:val="0"/>
          <w:sz w:val="32"/>
          <w:szCs w:val="32"/>
        </w:rPr>
        <w:t>析</w:t>
      </w:r>
      <w:bookmarkEnd w:id="23"/>
      <w:bookmarkEnd w:id="24"/>
      <w:bookmarkEnd w:id="25"/>
    </w:p>
    <w:p>
      <w:pPr>
        <w:spacing w:line="560" w:lineRule="exact"/>
        <w:ind w:left="0" w:leftChars="0" w:firstLine="640" w:firstLineChars="200"/>
        <w:outlineLvl w:val="1"/>
        <w:rPr>
          <w:rFonts w:ascii="楷体_GB2312" w:eastAsia="楷体_GB2312"/>
          <w:color w:val="auto"/>
          <w:sz w:val="32"/>
          <w:szCs w:val="32"/>
        </w:rPr>
      </w:pPr>
      <w:bookmarkStart w:id="26" w:name="_Toc11018"/>
      <w:bookmarkStart w:id="27" w:name="_Toc25956"/>
      <w:bookmarkStart w:id="28" w:name="_Toc14888"/>
      <w:r>
        <w:rPr>
          <w:rFonts w:hint="eastAsia" w:ascii="楷体_GB2312" w:eastAsia="楷体_GB2312"/>
          <w:color w:val="auto"/>
          <w:sz w:val="32"/>
          <w:szCs w:val="32"/>
        </w:rPr>
        <w:t>（一）财务管理</w:t>
      </w:r>
      <w:bookmarkEnd w:id="26"/>
      <w:bookmarkEnd w:id="27"/>
      <w:bookmarkEnd w:id="28"/>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1.财务</w:t>
      </w:r>
      <w:r>
        <w:rPr>
          <w:rFonts w:ascii="仿宋_GB2312" w:hAnsi="宋体" w:eastAsia="仿宋_GB2312" w:cs="宋体"/>
          <w:color w:val="auto"/>
          <w:kern w:val="0"/>
          <w:sz w:val="32"/>
          <w:szCs w:val="32"/>
        </w:rPr>
        <w:t>管理制度健全性</w:t>
      </w:r>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该项指标分值1.00分，实际得分1.00分。市重点站区管委会建立了《北京市重点站区管理委员会采购管理办法》等7个管理办法的通知（重点站区发〔2021〕9号）、《执法业务类制度汇编</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工作运行类制度汇编》等管理制度文件，部门财务管理制度健全有效。</w:t>
      </w:r>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2.资金使用合规性</w:t>
      </w:r>
      <w:r>
        <w:rPr>
          <w:rFonts w:ascii="仿宋_GB2312" w:hAnsi="宋体" w:eastAsia="仿宋_GB2312" w:cs="宋体"/>
          <w:color w:val="auto"/>
          <w:kern w:val="0"/>
          <w:sz w:val="32"/>
          <w:szCs w:val="32"/>
        </w:rPr>
        <w:t>和安全性</w:t>
      </w:r>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该项指标分值2.00分，实际得分2.00分。市重点站区管委会资金使用符合国家财经法规和财务管理制度规定以及有关专项资金管理办法的规定；资金的拨付有完整的审批程序和手续；项目的重大开支经过评估论证；符合部门预算批复的用途；不存在截留、挤占、挪用情况；资金使用符合政府采购的程序和流程；资金使用符合公务卡结算相关制度和规定。</w:t>
      </w:r>
    </w:p>
    <w:p>
      <w:pPr>
        <w:spacing w:line="560" w:lineRule="exact"/>
        <w:ind w:left="0" w:leftChars="0" w:firstLine="640" w:firstLineChars="200"/>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3.</w:t>
      </w:r>
      <w:r>
        <w:rPr>
          <w:rFonts w:hint="eastAsia" w:ascii="仿宋_GB2312" w:hAnsi="宋体" w:eastAsia="仿宋_GB2312" w:cs="宋体"/>
          <w:color w:val="auto"/>
          <w:kern w:val="0"/>
          <w:sz w:val="32"/>
          <w:szCs w:val="32"/>
        </w:rPr>
        <w:t>会计</w:t>
      </w:r>
      <w:r>
        <w:rPr>
          <w:rFonts w:ascii="仿宋_GB2312" w:hAnsi="宋体" w:eastAsia="仿宋_GB2312" w:cs="宋体"/>
          <w:color w:val="auto"/>
          <w:kern w:val="0"/>
          <w:sz w:val="32"/>
          <w:szCs w:val="32"/>
        </w:rPr>
        <w:t>基础信息完善性</w:t>
      </w:r>
    </w:p>
    <w:p>
      <w:pPr>
        <w:spacing w:line="560" w:lineRule="exact"/>
        <w:ind w:left="0" w:leftChars="0"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该项指标分值1.00分，实际得分1.00分。</w:t>
      </w:r>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_GB2312" w:eastAsia="仿宋_GB2312"/>
          <w:color w:val="000000"/>
          <w:sz w:val="32"/>
          <w:szCs w:val="32"/>
        </w:rPr>
        <w:t>严格执行《中华人民共和国会计法》及市财政制度，</w:t>
      </w:r>
      <w:r>
        <w:rPr>
          <w:rFonts w:hint="eastAsia" w:ascii="仿宋_GB2312" w:hAnsi="宋体" w:eastAsia="仿宋_GB2312" w:cs="宋体"/>
          <w:color w:val="auto"/>
          <w:kern w:val="0"/>
          <w:sz w:val="32"/>
          <w:szCs w:val="32"/>
        </w:rPr>
        <w:t>部门基础数据信息和会计信息资料真实</w:t>
      </w:r>
      <w:r>
        <w:rPr>
          <w:rFonts w:hint="eastAsia" w:ascii="仿宋_GB2312" w:hAnsi="??_GB2312" w:eastAsia="仿宋_GB2312"/>
          <w:color w:val="000000"/>
          <w:sz w:val="32"/>
          <w:szCs w:val="32"/>
        </w:rPr>
        <w:t>。在支付管理方面，坚持“公开、透明、高效”原则，严把审核关，对报销单据进行细致核查，有效防范财务风险。总体来看，财务管理基础扎实，为业务开展提供了有力保障。</w:t>
      </w:r>
    </w:p>
    <w:p>
      <w:pPr>
        <w:spacing w:line="560" w:lineRule="exact"/>
        <w:ind w:left="0" w:leftChars="0" w:firstLine="640" w:firstLineChars="200"/>
        <w:outlineLvl w:val="1"/>
        <w:rPr>
          <w:rFonts w:ascii="楷体_GB2312" w:eastAsia="楷体_GB2312"/>
          <w:color w:val="auto"/>
          <w:sz w:val="32"/>
          <w:szCs w:val="32"/>
        </w:rPr>
      </w:pPr>
      <w:bookmarkStart w:id="29" w:name="_Toc20585"/>
      <w:bookmarkStart w:id="30" w:name="_Toc24063"/>
      <w:bookmarkStart w:id="31" w:name="_Toc9818"/>
      <w:r>
        <w:rPr>
          <w:rFonts w:hint="eastAsia" w:ascii="楷体_GB2312" w:eastAsia="楷体_GB2312"/>
          <w:color w:val="auto"/>
          <w:sz w:val="32"/>
          <w:szCs w:val="32"/>
        </w:rPr>
        <w:t>（二）资产管理</w:t>
      </w:r>
      <w:bookmarkEnd w:id="29"/>
      <w:bookmarkEnd w:id="30"/>
      <w:bookmarkEnd w:id="31"/>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该项指标分值4.00分，实际得分4.00分。部门未有因管理不当发生严重资产损失和丢失情况；不存在超标准配置资产；资产使用规范，不存在未经批准擅自出租、出借资产行为；资产处置规范，不存在不按要求进行报批或资产不公开处置行为。</w:t>
      </w:r>
    </w:p>
    <w:p>
      <w:pPr>
        <w:spacing w:line="560" w:lineRule="exact"/>
        <w:ind w:left="0" w:leftChars="0" w:firstLine="640" w:firstLineChars="200"/>
        <w:outlineLvl w:val="1"/>
        <w:rPr>
          <w:rFonts w:ascii="楷体_GB2312" w:eastAsia="楷体_GB2312"/>
          <w:color w:val="auto"/>
          <w:sz w:val="32"/>
          <w:szCs w:val="32"/>
        </w:rPr>
      </w:pPr>
      <w:bookmarkStart w:id="32" w:name="_Toc9017"/>
      <w:bookmarkStart w:id="33" w:name="_Toc30885"/>
      <w:bookmarkStart w:id="34" w:name="_Toc23397"/>
      <w:r>
        <w:rPr>
          <w:rFonts w:hint="eastAsia" w:ascii="楷体_GB2312" w:eastAsia="楷体_GB2312"/>
          <w:color w:val="auto"/>
          <w:sz w:val="32"/>
          <w:szCs w:val="32"/>
        </w:rPr>
        <w:t>（三）绩效</w:t>
      </w:r>
      <w:r>
        <w:rPr>
          <w:rFonts w:ascii="楷体_GB2312" w:eastAsia="楷体_GB2312"/>
          <w:color w:val="auto"/>
          <w:sz w:val="32"/>
          <w:szCs w:val="32"/>
        </w:rPr>
        <w:t>管理</w:t>
      </w:r>
      <w:bookmarkEnd w:id="32"/>
      <w:bookmarkEnd w:id="33"/>
      <w:bookmarkEnd w:id="34"/>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该项指标分值4.00分，实际得分4.00分。市重点站区管委会建立了《北京市重点站区管理委员会预算管理办法</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北京市重点站区管理委员会预算绩效评价管理办法</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北京市重点站区管理委员会资产管理办法》，单位绩效管理制度健全。在年度预算执行过程中及时对绩效信息进行汇总分析整理；并在</w:t>
      </w:r>
      <w:r>
        <w:rPr>
          <w:rFonts w:hint="eastAsia" w:ascii="仿宋_GB2312" w:hAnsi="宋体" w:eastAsia="仿宋_GB2312" w:cs="宋体"/>
          <w:color w:val="auto"/>
          <w:kern w:val="0"/>
          <w:sz w:val="32"/>
          <w:szCs w:val="32"/>
          <w:lang w:eastAsia="zh-CN"/>
        </w:rPr>
        <w:t>2024年</w:t>
      </w:r>
      <w:r>
        <w:rPr>
          <w:rFonts w:hint="eastAsia" w:ascii="仿宋_GB2312" w:hAnsi="宋体" w:eastAsia="仿宋_GB2312" w:cs="宋体"/>
          <w:color w:val="auto"/>
          <w:kern w:val="0"/>
          <w:sz w:val="32"/>
          <w:szCs w:val="32"/>
        </w:rPr>
        <w:t>及时开展中期运行监控工作，及时对偏离绩效目标项目进行纠正。</w:t>
      </w:r>
    </w:p>
    <w:p>
      <w:pPr>
        <w:spacing w:line="560" w:lineRule="exact"/>
        <w:ind w:left="0" w:leftChars="0" w:firstLine="640" w:firstLineChars="200"/>
        <w:outlineLvl w:val="1"/>
        <w:rPr>
          <w:rFonts w:ascii="楷体_GB2312" w:eastAsia="楷体_GB2312"/>
          <w:color w:val="auto"/>
          <w:sz w:val="32"/>
          <w:szCs w:val="32"/>
        </w:rPr>
      </w:pPr>
      <w:bookmarkStart w:id="35" w:name="_Toc11332"/>
      <w:bookmarkStart w:id="36" w:name="_Toc27286"/>
      <w:bookmarkStart w:id="37" w:name="_Toc7263"/>
      <w:r>
        <w:rPr>
          <w:rFonts w:hint="eastAsia" w:ascii="楷体_GB2312" w:eastAsia="楷体_GB2312"/>
          <w:color w:val="auto"/>
          <w:sz w:val="32"/>
          <w:szCs w:val="32"/>
        </w:rPr>
        <w:t>（四）结转结余率</w:t>
      </w:r>
      <w:bookmarkEnd w:id="35"/>
      <w:bookmarkEnd w:id="36"/>
      <w:bookmarkEnd w:id="37"/>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该项指标分值4.00分，实际得分4.00分。</w:t>
      </w:r>
      <w:r>
        <w:rPr>
          <w:rFonts w:hint="eastAsia" w:ascii="仿宋_GB2312" w:hAnsi="宋体" w:eastAsia="仿宋_GB2312" w:cs="宋体"/>
          <w:color w:val="000000"/>
          <w:kern w:val="0"/>
          <w:sz w:val="32"/>
          <w:szCs w:val="32"/>
        </w:rPr>
        <w:t>根据部门决算报表，2024年全年支出预算数64,249</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9</w:t>
      </w:r>
      <w:r>
        <w:rPr>
          <w:rFonts w:hint="eastAsia" w:ascii="仿宋_GB2312" w:hAnsi="宋体" w:eastAsia="仿宋_GB2312" w:cs="宋体"/>
          <w:color w:val="000000"/>
          <w:kern w:val="0"/>
          <w:sz w:val="32"/>
          <w:szCs w:val="32"/>
          <w:lang w:eastAsia="zh-CN"/>
        </w:rPr>
        <w:t>7</w:t>
      </w:r>
      <w:r>
        <w:rPr>
          <w:rFonts w:hint="eastAsia" w:ascii="仿宋_GB2312" w:hAnsi="宋体" w:eastAsia="仿宋_GB2312" w:cs="宋体"/>
          <w:color w:val="000000"/>
          <w:kern w:val="0"/>
          <w:sz w:val="32"/>
          <w:szCs w:val="32"/>
          <w:lang w:val="en-US" w:eastAsia="zh-CN"/>
        </w:rPr>
        <w:t>万元</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auto"/>
          <w:kern w:val="0"/>
          <w:sz w:val="32"/>
          <w:szCs w:val="32"/>
        </w:rPr>
        <w:t>202</w:t>
      </w:r>
      <w:r>
        <w:rPr>
          <w:rFonts w:hint="eastAsia" w:ascii="仿宋_GB2312" w:hAnsi="宋体" w:eastAsia="仿宋_GB2312" w:cs="宋体"/>
          <w:color w:val="auto"/>
          <w:kern w:val="0"/>
          <w:sz w:val="32"/>
          <w:szCs w:val="32"/>
          <w:lang w:val="en-US" w:eastAsia="zh-CN"/>
        </w:rPr>
        <w:t>4</w:t>
      </w:r>
      <w:r>
        <w:rPr>
          <w:rFonts w:hint="eastAsia" w:ascii="仿宋_GB2312" w:hAnsi="宋体" w:eastAsia="仿宋_GB2312" w:cs="宋体"/>
          <w:color w:val="auto"/>
          <w:kern w:val="0"/>
          <w:sz w:val="32"/>
          <w:szCs w:val="32"/>
        </w:rPr>
        <w:t>年年末结转和结余</w:t>
      </w:r>
      <w:r>
        <w:rPr>
          <w:rFonts w:hint="eastAsia" w:ascii="仿宋_GB2312" w:hAnsi="宋体" w:eastAsia="仿宋_GB2312" w:cs="宋体"/>
          <w:color w:val="auto"/>
          <w:kern w:val="0"/>
          <w:sz w:val="32"/>
          <w:szCs w:val="32"/>
          <w:lang w:val="en-US" w:eastAsia="zh-CN"/>
        </w:rPr>
        <w:t>金额为</w:t>
      </w:r>
      <w:r>
        <w:rPr>
          <w:rFonts w:hint="eastAsia" w:ascii="仿宋_GB2312" w:hAnsi="宋体" w:eastAsia="仿宋_GB2312" w:cs="宋体"/>
          <w:color w:val="auto"/>
          <w:kern w:val="0"/>
          <w:sz w:val="32"/>
          <w:szCs w:val="32"/>
        </w:rPr>
        <w:t>6,373</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rPr>
        <w:t>12</w:t>
      </w:r>
      <w:r>
        <w:rPr>
          <w:rFonts w:hint="eastAsia" w:ascii="仿宋_GB2312" w:hAnsi="宋体" w:eastAsia="仿宋_GB2312" w:cs="宋体"/>
          <w:color w:val="auto"/>
          <w:kern w:val="0"/>
          <w:sz w:val="32"/>
          <w:szCs w:val="32"/>
          <w:lang w:val="en-US" w:eastAsia="zh-CN"/>
        </w:rPr>
        <w:t>万元，</w:t>
      </w:r>
      <w:r>
        <w:rPr>
          <w:rFonts w:hint="eastAsia" w:ascii="仿宋_GB2312" w:hAnsi="宋体" w:eastAsia="仿宋_GB2312" w:cs="宋体"/>
          <w:color w:val="auto"/>
          <w:kern w:val="0"/>
          <w:sz w:val="32"/>
          <w:szCs w:val="32"/>
        </w:rPr>
        <w:t>结转结余率为</w:t>
      </w:r>
      <w:r>
        <w:rPr>
          <w:rFonts w:hint="eastAsia" w:ascii="仿宋_GB2312" w:hAnsi="宋体" w:eastAsia="仿宋_GB2312" w:cs="宋体"/>
          <w:color w:val="auto"/>
          <w:kern w:val="0"/>
          <w:sz w:val="32"/>
          <w:szCs w:val="32"/>
          <w:lang w:val="en-US" w:eastAsia="zh-CN"/>
        </w:rPr>
        <w:t>9.92</w:t>
      </w:r>
      <w:r>
        <w:rPr>
          <w:rFonts w:hint="eastAsia" w:ascii="仿宋_GB2312" w:hAnsi="宋体" w:eastAsia="仿宋_GB2312" w:cs="宋体"/>
          <w:color w:val="auto"/>
          <w:kern w:val="0"/>
          <w:sz w:val="32"/>
          <w:szCs w:val="32"/>
        </w:rPr>
        <w:t>%。</w:t>
      </w:r>
    </w:p>
    <w:p>
      <w:pPr>
        <w:spacing w:line="560" w:lineRule="exact"/>
        <w:ind w:left="0" w:leftChars="0" w:firstLine="640" w:firstLineChars="200"/>
        <w:outlineLvl w:val="1"/>
        <w:rPr>
          <w:rFonts w:hint="eastAsia" w:ascii="楷体_GB2312" w:eastAsia="楷体_GB2312"/>
          <w:color w:val="auto"/>
          <w:sz w:val="32"/>
          <w:szCs w:val="32"/>
          <w:lang w:val="en-US" w:eastAsia="zh-CN"/>
        </w:rPr>
      </w:pPr>
      <w:bookmarkStart w:id="38" w:name="_Toc925"/>
      <w:bookmarkStart w:id="39" w:name="_Toc5471"/>
      <w:bookmarkStart w:id="40" w:name="_Toc2122"/>
      <w:r>
        <w:rPr>
          <w:rFonts w:hint="eastAsia" w:ascii="楷体_GB2312" w:eastAsia="楷体_GB2312"/>
          <w:color w:val="auto"/>
          <w:sz w:val="32"/>
          <w:szCs w:val="32"/>
        </w:rPr>
        <w:t>（五）部门</w:t>
      </w:r>
      <w:r>
        <w:rPr>
          <w:rFonts w:ascii="楷体_GB2312" w:eastAsia="楷体_GB2312"/>
          <w:color w:val="auto"/>
          <w:sz w:val="32"/>
          <w:szCs w:val="32"/>
        </w:rPr>
        <w:t>预决算差异率</w:t>
      </w:r>
      <w:bookmarkEnd w:id="38"/>
      <w:bookmarkEnd w:id="39"/>
      <w:bookmarkEnd w:id="40"/>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该项指标分值4.00分，实际得分4.00分。市重点站区管委</w:t>
      </w:r>
      <w:r>
        <w:rPr>
          <w:rFonts w:hint="eastAsia" w:ascii="仿宋_GB2312" w:hAnsi="宋体" w:eastAsia="仿宋_GB2312" w:cs="宋体"/>
          <w:color w:val="auto"/>
          <w:kern w:val="0"/>
          <w:sz w:val="32"/>
          <w:szCs w:val="32"/>
          <w:lang w:eastAsia="zh-CN"/>
        </w:rPr>
        <w:t>2024年</w:t>
      </w:r>
      <w:r>
        <w:rPr>
          <w:rFonts w:hint="eastAsia" w:ascii="仿宋_GB2312" w:hAnsi="宋体" w:eastAsia="仿宋_GB2312" w:cs="宋体"/>
          <w:color w:val="auto"/>
          <w:kern w:val="0"/>
          <w:sz w:val="32"/>
          <w:szCs w:val="32"/>
          <w:lang w:val="en-US" w:eastAsia="zh-CN"/>
        </w:rPr>
        <w:t>全年</w:t>
      </w:r>
      <w:r>
        <w:rPr>
          <w:rFonts w:hint="eastAsia" w:ascii="仿宋_GB2312" w:hAnsi="宋体" w:eastAsia="仿宋_GB2312" w:cs="宋体"/>
          <w:color w:val="auto"/>
          <w:kern w:val="0"/>
          <w:sz w:val="32"/>
          <w:szCs w:val="32"/>
        </w:rPr>
        <w:t>支出预算数64,249.97万元，支出决算数57,876.85万元，</w:t>
      </w:r>
      <w:r>
        <w:rPr>
          <w:rFonts w:hint="eastAsia" w:ascii="仿宋_GB2312" w:hAnsi="宋体" w:eastAsia="仿宋_GB2312" w:cs="宋体"/>
          <w:color w:val="auto"/>
          <w:kern w:val="0"/>
          <w:sz w:val="32"/>
          <w:szCs w:val="32"/>
          <w:lang w:val="en-US" w:eastAsia="zh-CN"/>
        </w:rPr>
        <w:t>部门</w:t>
      </w:r>
      <w:r>
        <w:rPr>
          <w:rFonts w:hint="eastAsia" w:ascii="仿宋_GB2312" w:hAnsi="宋体" w:eastAsia="仿宋_GB2312" w:cs="宋体"/>
          <w:color w:val="auto"/>
          <w:kern w:val="0"/>
          <w:sz w:val="32"/>
          <w:szCs w:val="32"/>
        </w:rPr>
        <w:t>预决算差异金额</w:t>
      </w:r>
      <w:r>
        <w:rPr>
          <w:rFonts w:hint="eastAsia" w:ascii="仿宋_GB2312" w:hAnsi="宋体" w:eastAsia="仿宋_GB2312" w:cs="宋体"/>
          <w:color w:val="auto"/>
          <w:kern w:val="0"/>
          <w:sz w:val="32"/>
          <w:szCs w:val="32"/>
          <w:lang w:val="en-US" w:eastAsia="zh-CN"/>
        </w:rPr>
        <w:t>6,373.12</w:t>
      </w:r>
      <w:r>
        <w:rPr>
          <w:rFonts w:hint="eastAsia"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lang w:val="en-US" w:eastAsia="zh-CN"/>
        </w:rPr>
        <w:t>部门</w:t>
      </w:r>
      <w:r>
        <w:rPr>
          <w:rFonts w:hint="eastAsia" w:ascii="仿宋_GB2312" w:hAnsi="宋体" w:eastAsia="仿宋_GB2312" w:cs="宋体"/>
          <w:color w:val="auto"/>
          <w:kern w:val="0"/>
          <w:sz w:val="32"/>
          <w:szCs w:val="32"/>
        </w:rPr>
        <w:t>预决算差异率</w:t>
      </w:r>
      <w:r>
        <w:rPr>
          <w:rFonts w:hint="eastAsia" w:ascii="仿宋_GB2312" w:hAnsi="宋体" w:eastAsia="仿宋_GB2312" w:cs="宋体"/>
          <w:color w:val="auto"/>
          <w:kern w:val="0"/>
          <w:sz w:val="32"/>
          <w:szCs w:val="32"/>
          <w:lang w:val="en-US" w:eastAsia="zh-CN"/>
        </w:rPr>
        <w:t>为9.92</w:t>
      </w:r>
      <w:r>
        <w:rPr>
          <w:rFonts w:hint="eastAsia" w:ascii="仿宋_GB2312" w:hAnsi="宋体" w:eastAsia="仿宋_GB2312" w:cs="宋体"/>
          <w:color w:val="auto"/>
          <w:kern w:val="0"/>
          <w:sz w:val="32"/>
          <w:szCs w:val="32"/>
        </w:rPr>
        <w:t>%。</w:t>
      </w:r>
    </w:p>
    <w:p>
      <w:pPr>
        <w:spacing w:line="560" w:lineRule="exact"/>
        <w:ind w:left="0" w:leftChars="0" w:firstLine="640" w:firstLineChars="200"/>
        <w:outlineLvl w:val="0"/>
        <w:rPr>
          <w:rFonts w:ascii="黑体" w:hAnsi="黑体" w:eastAsia="黑体"/>
          <w:color w:val="auto"/>
          <w:sz w:val="32"/>
          <w:szCs w:val="32"/>
        </w:rPr>
      </w:pPr>
      <w:bookmarkStart w:id="41" w:name="_Toc31306"/>
      <w:bookmarkStart w:id="42" w:name="_Toc974"/>
      <w:bookmarkStart w:id="43" w:name="_Toc3668"/>
      <w:r>
        <w:rPr>
          <w:rFonts w:hint="eastAsia" w:ascii="黑体" w:hAnsi="黑体" w:eastAsia="黑体"/>
          <w:color w:val="auto"/>
          <w:sz w:val="32"/>
          <w:szCs w:val="32"/>
        </w:rPr>
        <w:t>五、总体</w:t>
      </w:r>
      <w:r>
        <w:rPr>
          <w:rFonts w:ascii="黑体" w:hAnsi="黑体" w:eastAsia="黑体"/>
          <w:color w:val="auto"/>
          <w:sz w:val="32"/>
          <w:szCs w:val="32"/>
        </w:rPr>
        <w:t>评价结论</w:t>
      </w:r>
      <w:bookmarkEnd w:id="41"/>
      <w:bookmarkEnd w:id="42"/>
      <w:bookmarkEnd w:id="43"/>
    </w:p>
    <w:p>
      <w:pPr>
        <w:spacing w:line="560" w:lineRule="exact"/>
        <w:ind w:left="0" w:leftChars="0" w:firstLine="640" w:firstLineChars="200"/>
        <w:outlineLvl w:val="1"/>
        <w:rPr>
          <w:rFonts w:ascii="楷体_GB2312" w:eastAsia="楷体_GB2312"/>
          <w:color w:val="auto"/>
          <w:sz w:val="32"/>
          <w:szCs w:val="32"/>
        </w:rPr>
      </w:pPr>
      <w:bookmarkStart w:id="44" w:name="_Toc31780"/>
      <w:bookmarkStart w:id="45" w:name="_Toc17866"/>
      <w:bookmarkStart w:id="46" w:name="_Toc22514"/>
      <w:r>
        <w:rPr>
          <w:rFonts w:hint="eastAsia" w:ascii="楷体_GB2312" w:eastAsia="楷体_GB2312"/>
          <w:color w:val="auto"/>
          <w:sz w:val="32"/>
          <w:szCs w:val="32"/>
        </w:rPr>
        <w:t>（一）评价</w:t>
      </w:r>
      <w:r>
        <w:rPr>
          <w:rFonts w:ascii="楷体_GB2312" w:eastAsia="楷体_GB2312"/>
          <w:color w:val="auto"/>
          <w:sz w:val="32"/>
          <w:szCs w:val="32"/>
        </w:rPr>
        <w:t>得分</w:t>
      </w:r>
      <w:r>
        <w:rPr>
          <w:rFonts w:hint="eastAsia" w:ascii="楷体_GB2312" w:eastAsia="楷体_GB2312"/>
          <w:color w:val="auto"/>
          <w:sz w:val="32"/>
          <w:szCs w:val="32"/>
        </w:rPr>
        <w:t>情况</w:t>
      </w:r>
      <w:bookmarkEnd w:id="44"/>
      <w:bookmarkEnd w:id="45"/>
      <w:bookmarkEnd w:id="46"/>
    </w:p>
    <w:p>
      <w:pPr>
        <w:spacing w:line="560" w:lineRule="exact"/>
        <w:ind w:left="0" w:leftChars="0" w:firstLine="640" w:firstLineChars="200"/>
        <w:rPr>
          <w:rFonts w:ascii="楷体_GB2312" w:eastAsia="楷体_GB2312"/>
          <w:color w:val="auto"/>
          <w:sz w:val="32"/>
          <w:szCs w:val="32"/>
          <w:highlight w:val="none"/>
        </w:rPr>
      </w:pPr>
      <w:r>
        <w:rPr>
          <w:rFonts w:hint="eastAsia" w:ascii="仿宋_GB2312" w:hAnsi="宋体" w:eastAsia="仿宋_GB2312" w:cs="宋体"/>
          <w:color w:val="auto"/>
          <w:kern w:val="0"/>
          <w:sz w:val="32"/>
          <w:szCs w:val="32"/>
          <w:highlight w:val="none"/>
        </w:rPr>
        <w:t>北京市重点站区管理委员会</w:t>
      </w:r>
      <w:r>
        <w:rPr>
          <w:rFonts w:hint="eastAsia" w:ascii="仿宋_GB2312" w:hAnsi="宋体" w:eastAsia="仿宋_GB2312" w:cs="宋体"/>
          <w:color w:val="auto"/>
          <w:kern w:val="0"/>
          <w:sz w:val="32"/>
          <w:szCs w:val="32"/>
          <w:highlight w:val="none"/>
          <w:lang w:eastAsia="zh-CN"/>
        </w:rPr>
        <w:t>2024年</w:t>
      </w:r>
      <w:r>
        <w:rPr>
          <w:rFonts w:hint="eastAsia" w:ascii="仿宋_GB2312" w:hAnsi="宋体" w:eastAsia="仿宋_GB2312" w:cs="宋体"/>
          <w:color w:val="auto"/>
          <w:kern w:val="0"/>
          <w:sz w:val="32"/>
          <w:szCs w:val="32"/>
          <w:highlight w:val="none"/>
        </w:rPr>
        <w:t>部门整体评价得分9</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02</w:t>
      </w:r>
      <w:r>
        <w:rPr>
          <w:rFonts w:hint="eastAsia" w:ascii="仿宋_GB2312" w:hAnsi="宋体" w:eastAsia="仿宋_GB2312" w:cs="宋体"/>
          <w:color w:val="auto"/>
          <w:kern w:val="0"/>
          <w:sz w:val="32"/>
          <w:szCs w:val="32"/>
          <w:highlight w:val="none"/>
        </w:rPr>
        <w:t>分，其中当年预算执行情况得分</w:t>
      </w:r>
      <w:r>
        <w:rPr>
          <w:rFonts w:hint="eastAsia" w:ascii="仿宋_GB2312" w:hAnsi="宋体" w:eastAsia="仿宋_GB2312" w:cs="宋体"/>
          <w:color w:val="auto"/>
          <w:kern w:val="0"/>
          <w:sz w:val="32"/>
          <w:szCs w:val="32"/>
          <w:highlight w:val="none"/>
          <w:lang w:val="en-US" w:eastAsia="zh-CN"/>
        </w:rPr>
        <w:t>18.02</w:t>
      </w:r>
      <w:r>
        <w:rPr>
          <w:rFonts w:hint="eastAsia" w:ascii="仿宋_GB2312" w:hAnsi="宋体" w:eastAsia="仿宋_GB2312" w:cs="宋体"/>
          <w:color w:val="auto"/>
          <w:kern w:val="0"/>
          <w:sz w:val="32"/>
          <w:szCs w:val="32"/>
          <w:highlight w:val="none"/>
        </w:rPr>
        <w:t>分，整体绩效目标实现情况得分</w:t>
      </w:r>
      <w:r>
        <w:rPr>
          <w:rFonts w:hint="eastAsia" w:ascii="仿宋_GB2312" w:hAnsi="宋体" w:eastAsia="仿宋_GB2312" w:cs="宋体"/>
          <w:color w:val="auto"/>
          <w:kern w:val="0"/>
          <w:sz w:val="32"/>
          <w:szCs w:val="32"/>
          <w:highlight w:val="none"/>
          <w:lang w:val="en-US" w:eastAsia="zh-CN"/>
        </w:rPr>
        <w:t>55</w:t>
      </w:r>
      <w:r>
        <w:rPr>
          <w:rFonts w:hint="eastAsia" w:ascii="仿宋_GB2312" w:hAnsi="宋体" w:eastAsia="仿宋_GB2312" w:cs="宋体"/>
          <w:color w:val="auto"/>
          <w:kern w:val="0"/>
          <w:sz w:val="32"/>
          <w:szCs w:val="32"/>
          <w:highlight w:val="none"/>
        </w:rPr>
        <w:t>.00分，预算管理情况得分20.00分，部门整体评价等级为“优”。</w:t>
      </w:r>
    </w:p>
    <w:p>
      <w:pPr>
        <w:spacing w:line="560" w:lineRule="exact"/>
        <w:ind w:left="0" w:leftChars="0" w:firstLine="640" w:firstLineChars="200"/>
        <w:outlineLvl w:val="1"/>
        <w:rPr>
          <w:rFonts w:ascii="楷体_GB2312" w:eastAsia="楷体_GB2312"/>
          <w:color w:val="auto"/>
          <w:sz w:val="32"/>
          <w:szCs w:val="32"/>
        </w:rPr>
      </w:pPr>
      <w:bookmarkStart w:id="47" w:name="_Toc3526"/>
      <w:bookmarkStart w:id="48" w:name="_Toc887"/>
      <w:bookmarkStart w:id="49" w:name="_Toc26401"/>
      <w:r>
        <w:rPr>
          <w:rFonts w:hint="eastAsia" w:ascii="楷体_GB2312" w:eastAsia="楷体_GB2312"/>
          <w:color w:val="auto"/>
          <w:sz w:val="32"/>
          <w:szCs w:val="32"/>
        </w:rPr>
        <w:t>（二）存在的问题及原因分析</w:t>
      </w:r>
      <w:bookmarkEnd w:id="47"/>
      <w:bookmarkEnd w:id="48"/>
      <w:bookmarkEnd w:id="49"/>
    </w:p>
    <w:p>
      <w:pPr>
        <w:spacing w:line="560" w:lineRule="exact"/>
        <w:ind w:left="0" w:leftChars="0"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1.绩效目标设定科学性仍</w:t>
      </w:r>
      <w:r>
        <w:rPr>
          <w:rFonts w:hint="eastAsia" w:ascii="仿宋_GB2312" w:hAnsi="宋体" w:eastAsia="仿宋_GB2312" w:cs="宋体"/>
          <w:color w:val="auto"/>
          <w:kern w:val="0"/>
          <w:sz w:val="32"/>
          <w:szCs w:val="32"/>
          <w:lang w:val="en-US" w:eastAsia="zh-CN"/>
        </w:rPr>
        <w:t>有待提高。</w:t>
      </w:r>
      <w:r>
        <w:rPr>
          <w:rFonts w:hint="eastAsia" w:ascii="仿宋_GB2312" w:hAnsi="宋体" w:eastAsia="仿宋_GB2312" w:cs="宋体"/>
          <w:color w:val="auto"/>
          <w:kern w:val="0"/>
          <w:sz w:val="32"/>
          <w:szCs w:val="32"/>
        </w:rPr>
        <w:t>部门整体支出绩效目标表设定的总体目标比较明确，但具体指标</w:t>
      </w:r>
      <w:r>
        <w:rPr>
          <w:rFonts w:hint="eastAsia" w:ascii="仿宋_GB2312" w:hAnsi="宋体" w:eastAsia="仿宋_GB2312" w:cs="宋体"/>
          <w:color w:val="auto"/>
          <w:kern w:val="0"/>
          <w:sz w:val="32"/>
          <w:szCs w:val="32"/>
          <w:lang w:val="en-US" w:eastAsia="zh-CN"/>
        </w:rPr>
        <w:t>不够细化</w:t>
      </w:r>
      <w:r>
        <w:rPr>
          <w:rFonts w:hint="eastAsia" w:ascii="仿宋_GB2312" w:hAnsi="宋体" w:eastAsia="仿宋_GB2312" w:cs="宋体"/>
          <w:color w:val="auto"/>
          <w:kern w:val="0"/>
          <w:sz w:val="32"/>
          <w:szCs w:val="32"/>
        </w:rPr>
        <w:t>；项目支出绩效目标表的个别指标填报不够</w:t>
      </w:r>
      <w:r>
        <w:rPr>
          <w:rFonts w:hint="eastAsia" w:ascii="仿宋_GB2312" w:hAnsi="宋体" w:eastAsia="仿宋_GB2312" w:cs="宋体"/>
          <w:color w:val="auto"/>
          <w:kern w:val="0"/>
          <w:sz w:val="32"/>
          <w:szCs w:val="32"/>
          <w:lang w:val="en-US" w:eastAsia="zh-CN"/>
        </w:rPr>
        <w:t>具体，如</w:t>
      </w:r>
      <w:r>
        <w:rPr>
          <w:rFonts w:hint="eastAsia" w:ascii="仿宋_GB2312" w:hAnsi="宋体" w:eastAsia="仿宋_GB2312" w:cs="宋体"/>
          <w:color w:val="auto"/>
          <w:kern w:val="0"/>
          <w:sz w:val="32"/>
          <w:szCs w:val="32"/>
        </w:rPr>
        <w:t>产出进度</w:t>
      </w:r>
      <w:r>
        <w:rPr>
          <w:rFonts w:hint="eastAsia" w:ascii="仿宋_GB2312" w:hAnsi="宋体" w:eastAsia="仿宋_GB2312" w:cs="宋体"/>
          <w:color w:val="auto"/>
          <w:kern w:val="0"/>
          <w:sz w:val="32"/>
          <w:szCs w:val="32"/>
          <w:lang w:val="en-US" w:eastAsia="zh-CN"/>
        </w:rPr>
        <w:t>指标为≤1年，未能对项目的执行进度分阶段提出具体要求</w:t>
      </w:r>
      <w:r>
        <w:rPr>
          <w:rFonts w:hint="eastAsia" w:ascii="仿宋_GB2312" w:hAnsi="宋体" w:eastAsia="仿宋_GB2312" w:cs="宋体"/>
          <w:color w:val="auto"/>
          <w:kern w:val="0"/>
          <w:sz w:val="32"/>
          <w:szCs w:val="32"/>
        </w:rPr>
        <w:t>。</w:t>
      </w:r>
    </w:p>
    <w:p>
      <w:pPr>
        <w:spacing w:line="560" w:lineRule="exact"/>
        <w:ind w:firstLine="640" w:firstLineChars="200"/>
        <w:outlineLvl w:val="9"/>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2</w:t>
      </w:r>
      <w:r>
        <w:rPr>
          <w:rFonts w:hint="eastAsia" w:ascii="仿宋_GB2312" w:hAnsi="宋体" w:eastAsia="仿宋_GB2312" w:cs="宋体"/>
          <w:color w:val="auto"/>
          <w:kern w:val="0"/>
          <w:sz w:val="32"/>
          <w:szCs w:val="32"/>
        </w:rPr>
        <w:t>.绩效成果展现</w:t>
      </w:r>
      <w:r>
        <w:rPr>
          <w:rFonts w:hint="eastAsia" w:ascii="仿宋_GB2312" w:hAnsi="宋体" w:eastAsia="仿宋_GB2312" w:cs="宋体"/>
          <w:color w:val="auto"/>
          <w:kern w:val="0"/>
          <w:sz w:val="32"/>
          <w:szCs w:val="32"/>
          <w:lang w:val="en-US" w:eastAsia="zh-CN"/>
        </w:rPr>
        <w:t>不足。</w:t>
      </w:r>
      <w:bookmarkStart w:id="50" w:name="_Toc19242"/>
      <w:bookmarkStart w:id="51" w:name="_Toc18828"/>
      <w:r>
        <w:rPr>
          <w:rFonts w:hint="eastAsia" w:ascii="仿宋_GB2312" w:hAnsi="宋体" w:eastAsia="仿宋_GB2312" w:cs="宋体"/>
          <w:color w:val="auto"/>
          <w:kern w:val="0"/>
          <w:sz w:val="32"/>
          <w:szCs w:val="32"/>
        </w:rPr>
        <w:t>项目绩效成果展现不够充分，归集</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分析</w:t>
      </w:r>
      <w:r>
        <w:rPr>
          <w:rFonts w:hint="eastAsia" w:ascii="仿宋_GB2312" w:hAnsi="宋体" w:eastAsia="仿宋_GB2312" w:cs="宋体"/>
          <w:color w:val="auto"/>
          <w:kern w:val="0"/>
          <w:sz w:val="32"/>
          <w:szCs w:val="32"/>
        </w:rPr>
        <w:t>项目绩效资料的意识有待进一步</w:t>
      </w:r>
      <w:r>
        <w:rPr>
          <w:rFonts w:hint="eastAsia" w:ascii="仿宋_GB2312" w:hAnsi="宋体" w:eastAsia="仿宋_GB2312" w:cs="宋体"/>
          <w:color w:val="auto"/>
          <w:kern w:val="0"/>
          <w:sz w:val="32"/>
          <w:szCs w:val="32"/>
          <w:lang w:val="en-US" w:eastAsia="zh-CN"/>
        </w:rPr>
        <w:t>强化</w:t>
      </w:r>
      <w:r>
        <w:rPr>
          <w:rFonts w:hint="eastAsia" w:ascii="仿宋_GB2312" w:hAnsi="宋体" w:eastAsia="仿宋_GB2312" w:cs="宋体"/>
          <w:color w:val="auto"/>
          <w:kern w:val="0"/>
          <w:sz w:val="32"/>
          <w:szCs w:val="32"/>
        </w:rPr>
        <w:t>。</w:t>
      </w:r>
      <w:bookmarkEnd w:id="50"/>
    </w:p>
    <w:p>
      <w:pPr>
        <w:spacing w:line="560" w:lineRule="exact"/>
        <w:ind w:firstLine="640" w:firstLineChars="200"/>
        <w:outlineLvl w:val="0"/>
        <w:rPr>
          <w:rFonts w:ascii="仿宋_GB2312" w:hAnsi="宋体" w:eastAsia="仿宋_GB2312" w:cs="宋体"/>
          <w:color w:val="auto"/>
          <w:kern w:val="0"/>
          <w:sz w:val="32"/>
          <w:szCs w:val="32"/>
        </w:rPr>
      </w:pPr>
      <w:bookmarkStart w:id="52" w:name="_Toc29093"/>
      <w:bookmarkStart w:id="53" w:name="_Toc6386"/>
      <w:r>
        <w:rPr>
          <w:rFonts w:hint="eastAsia" w:ascii="黑体" w:hAnsi="黑体" w:eastAsia="黑体" w:cs="宋体"/>
          <w:color w:val="auto"/>
          <w:kern w:val="0"/>
          <w:sz w:val="32"/>
          <w:szCs w:val="32"/>
        </w:rPr>
        <w:t>六、措施建议</w:t>
      </w:r>
      <w:bookmarkEnd w:id="51"/>
      <w:bookmarkEnd w:id="52"/>
      <w:bookmarkEnd w:id="53"/>
    </w:p>
    <w:p>
      <w:pPr>
        <w:spacing w:line="560" w:lineRule="exact"/>
        <w:ind w:left="0" w:leftChars="0" w:firstLine="640" w:firstLineChars="200"/>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rPr>
        <w:t>（一）根据总体绩效目标</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年度工作任务</w:t>
      </w:r>
      <w:r>
        <w:rPr>
          <w:rFonts w:hint="eastAsia" w:ascii="仿宋_GB2312" w:hAnsi="宋体" w:eastAsia="仿宋_GB2312" w:cs="宋体"/>
          <w:color w:val="auto"/>
          <w:kern w:val="0"/>
          <w:sz w:val="32"/>
          <w:szCs w:val="32"/>
        </w:rPr>
        <w:t>分解细化具体指标值，以提升资金使用效益为核心，确保财政支出与预期成效精准匹配</w:t>
      </w:r>
      <w:r>
        <w:rPr>
          <w:rFonts w:hint="eastAsia" w:eastAsia="仿宋_GB2312"/>
          <w:color w:val="auto"/>
          <w:kern w:val="0"/>
          <w:sz w:val="32"/>
          <w:szCs w:val="32"/>
          <w:lang w:eastAsia="zh-CN"/>
        </w:rPr>
        <w:t>。</w:t>
      </w:r>
    </w:p>
    <w:p>
      <w:pPr>
        <w:spacing w:line="560" w:lineRule="exact"/>
        <w:ind w:left="0" w:leftChars="0"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二</w:t>
      </w:r>
      <w:r>
        <w:rPr>
          <w:rFonts w:hint="eastAsia" w:ascii="仿宋_GB2312" w:hAnsi="宋体" w:eastAsia="仿宋_GB2312" w:cs="宋体"/>
          <w:color w:val="auto"/>
          <w:kern w:val="0"/>
          <w:sz w:val="32"/>
          <w:szCs w:val="32"/>
        </w:rPr>
        <w:t>）在项目实施过程中，重视对已设定绩效目标和指标完成情况的归集与分析，强化绩效约束，</w:t>
      </w:r>
      <w:r>
        <w:rPr>
          <w:rFonts w:hint="eastAsia" w:ascii="仿宋_GB2312" w:hAnsi="宋体" w:eastAsia="仿宋_GB2312" w:cs="宋体"/>
          <w:color w:val="auto"/>
          <w:kern w:val="0"/>
          <w:sz w:val="32"/>
          <w:szCs w:val="32"/>
          <w:lang w:val="en-US" w:eastAsia="zh-CN"/>
        </w:rPr>
        <w:t>科学、合理开展</w:t>
      </w:r>
      <w:r>
        <w:rPr>
          <w:rFonts w:hint="eastAsia" w:ascii="仿宋_GB2312" w:hAnsi="宋体" w:eastAsia="仿宋_GB2312" w:cs="宋体"/>
          <w:color w:val="auto"/>
          <w:kern w:val="0"/>
          <w:sz w:val="32"/>
          <w:szCs w:val="32"/>
        </w:rPr>
        <w:t>服务对象满意度调查，为实现绩效目标提供有效支撑。</w:t>
      </w:r>
    </w:p>
    <w:p>
      <w:pPr>
        <w:spacing w:line="560" w:lineRule="exact"/>
        <w:ind w:left="0" w:leftChars="0" w:firstLine="640" w:firstLineChars="200"/>
        <w:rPr>
          <w:rFonts w:hint="eastAsia" w:ascii="仿宋_GB2312" w:hAnsi="宋体" w:eastAsia="仿宋_GB2312" w:cs="宋体"/>
          <w:color w:val="auto"/>
          <w:kern w:val="0"/>
          <w:sz w:val="32"/>
          <w:szCs w:val="32"/>
        </w:rPr>
      </w:pPr>
    </w:p>
    <w:p>
      <w:pPr>
        <w:spacing w:line="560" w:lineRule="exact"/>
        <w:ind w:left="0" w:leftChars="0" w:firstLine="640" w:firstLineChars="200"/>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附件：2024年部门整体绩效评价指标体系评分表</w:t>
      </w:r>
    </w:p>
    <w:p>
      <w:pPr>
        <w:spacing w:line="560" w:lineRule="exact"/>
        <w:ind w:firstLine="640" w:firstLineChars="200"/>
        <w:rPr>
          <w:rFonts w:hint="eastAsia" w:ascii="仿宋_GB2312" w:hAnsi="宋体" w:eastAsia="仿宋_GB2312" w:cs="宋体"/>
          <w:color w:val="auto"/>
          <w:kern w:val="0"/>
          <w:sz w:val="32"/>
          <w:szCs w:val="32"/>
        </w:rPr>
        <w:sectPr>
          <w:footerReference r:id="rId4" w:type="default"/>
          <w:pgSz w:w="11906" w:h="16838"/>
          <w:pgMar w:top="1440" w:right="1800" w:bottom="1440" w:left="1800" w:header="851" w:footer="992" w:gutter="0"/>
          <w:pgNumType w:start="1"/>
          <w:cols w:space="425" w:num="1"/>
          <w:docGrid w:type="lines" w:linePitch="312" w:charSpace="0"/>
        </w:sectPr>
      </w:pPr>
    </w:p>
    <w:p>
      <w:pPr>
        <w:spacing w:line="600" w:lineRule="exact"/>
        <w:rPr>
          <w:rFonts w:hint="eastAsia" w:ascii="黑体" w:hAnsi="黑体" w:eastAsia="黑体" w:cs="黑体"/>
          <w:color w:val="auto"/>
          <w:sz w:val="32"/>
          <w:szCs w:val="32"/>
        </w:rPr>
      </w:pPr>
      <w:r>
        <w:rPr>
          <w:rFonts w:hint="eastAsia" w:ascii="黑体" w:hAnsi="黑体" w:eastAsia="黑体" w:cs="黑体"/>
          <w:color w:val="auto"/>
          <w:kern w:val="0"/>
          <w:sz w:val="32"/>
          <w:szCs w:val="32"/>
          <w:lang w:val="en-US" w:eastAsia="zh-CN"/>
        </w:rPr>
        <w:t>附件：</w:t>
      </w:r>
    </w:p>
    <w:tbl>
      <w:tblPr>
        <w:tblStyle w:val="11"/>
        <w:tblW w:w="480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37"/>
        <w:gridCol w:w="500"/>
        <w:gridCol w:w="929"/>
        <w:gridCol w:w="908"/>
        <w:gridCol w:w="1179"/>
        <w:gridCol w:w="658"/>
        <w:gridCol w:w="2626"/>
        <w:gridCol w:w="1072"/>
        <w:gridCol w:w="1470"/>
        <w:gridCol w:w="330"/>
        <w:gridCol w:w="1328"/>
        <w:gridCol w:w="187"/>
        <w:gridCol w:w="10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5000" w:type="pct"/>
            <w:gridSpan w:val="13"/>
            <w:tcBorders>
              <w:top w:val="single" w:color="000000" w:sz="4" w:space="0"/>
              <w:left w:val="single" w:color="000000" w:sz="4" w:space="0"/>
              <w:bottom w:val="single" w:color="000000" w:sz="4" w:space="0"/>
              <w:right w:val="single" w:color="000000" w:sz="4" w:space="0"/>
              <w:tl2br w:val="nil"/>
            </w:tcBorders>
            <w:shd w:val="clear" w:color="auto" w:fill="FFFFFF"/>
            <w:noWrap/>
            <w:vAlign w:val="bottom"/>
          </w:tcPr>
          <w:p>
            <w:pPr>
              <w:keepNext w:val="0"/>
              <w:keepLines w:val="0"/>
              <w:widowControl/>
              <w:suppressLineNumbers w:val="0"/>
              <w:jc w:val="center"/>
              <w:textAlignment w:val="bottom"/>
              <w:rPr>
                <w:rFonts w:ascii="方正小标宋简体" w:hAnsi="方正小标宋简体" w:eastAsia="方正小标宋简体" w:cs="方正小标宋简体"/>
                <w:b w:val="0"/>
                <w:i w:val="0"/>
                <w:iCs w:val="0"/>
                <w:color w:val="000000"/>
                <w:sz w:val="44"/>
                <w:szCs w:val="44"/>
                <w:u w:val="none"/>
              </w:rPr>
            </w:pPr>
            <w:r>
              <w:rPr>
                <w:rFonts w:hint="eastAsia" w:ascii="黑体" w:hAnsi="黑体" w:eastAsia="黑体" w:cs="黑体"/>
                <w:b w:val="0"/>
                <w:color w:val="000000"/>
                <w:kern w:val="0"/>
                <w:sz w:val="32"/>
                <w:szCs w:val="32"/>
                <w:lang w:val="en-US" w:eastAsia="zh-CN"/>
              </w:rPr>
              <w:t>2024年部门整体绩效评价指标体系评分表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000" w:type="pct"/>
            <w:gridSpan w:val="1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val="0"/>
                <w:i w:val="0"/>
                <w:iCs w:val="0"/>
                <w:color w:val="000000"/>
                <w:sz w:val="18"/>
                <w:szCs w:val="18"/>
                <w:u w:val="none"/>
              </w:rPr>
            </w:pPr>
            <w:r>
              <w:rPr>
                <w:rFonts w:hint="eastAsia" w:ascii="宋体" w:hAnsi="宋体" w:eastAsia="宋体" w:cs="宋体"/>
                <w:b w:val="0"/>
                <w:i w:val="0"/>
                <w:iCs w:val="0"/>
                <w:color w:val="000000"/>
                <w:kern w:val="0"/>
                <w:sz w:val="18"/>
                <w:szCs w:val="18"/>
                <w:u w:val="none"/>
                <w:lang w:val="en-US" w:eastAsia="zh-CN" w:bidi="ar"/>
              </w:rPr>
              <w:t>一、</w:t>
            </w:r>
            <w:r>
              <w:rPr>
                <w:rStyle w:val="19"/>
                <w:b w:val="0"/>
                <w:lang w:val="en-US" w:eastAsia="zh-CN" w:bidi="ar"/>
              </w:rPr>
              <w:t>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一级指标　</w:t>
            </w:r>
          </w:p>
        </w:tc>
        <w:tc>
          <w:tcPr>
            <w:tcW w:w="52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二级指标　</w:t>
            </w: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预算数（万元）</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执行数（万元）</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预算执行率</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分值 </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得分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9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当年预算执行情况</w:t>
            </w:r>
            <w:r>
              <w:rPr>
                <w:rFonts w:hint="eastAsia" w:ascii="宋体" w:hAnsi="宋体" w:eastAsia="宋体" w:cs="宋体"/>
                <w:b w:val="0"/>
                <w:i w:val="0"/>
                <w:iCs w:val="0"/>
                <w:color w:val="000000"/>
                <w:kern w:val="0"/>
                <w:sz w:val="20"/>
                <w:szCs w:val="20"/>
                <w:u w:val="none"/>
                <w:lang w:val="en-US" w:eastAsia="zh-CN" w:bidi="ar"/>
              </w:rPr>
              <w:br w:type="textWrapping"/>
            </w:r>
            <w:r>
              <w:rPr>
                <w:rFonts w:hint="eastAsia" w:ascii="宋体" w:hAnsi="宋体" w:eastAsia="宋体" w:cs="宋体"/>
                <w:b w:val="0"/>
                <w:i w:val="0"/>
                <w:iCs w:val="0"/>
                <w:color w:val="000000"/>
                <w:kern w:val="0"/>
                <w:sz w:val="20"/>
                <w:szCs w:val="20"/>
                <w:u w:val="none"/>
                <w:lang w:val="en-US" w:eastAsia="zh-CN" w:bidi="ar"/>
              </w:rPr>
              <w:t>（20分）</w:t>
            </w:r>
          </w:p>
        </w:tc>
        <w:tc>
          <w:tcPr>
            <w:tcW w:w="52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资金总体</w:t>
            </w: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64,249.97 </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57,876.85 </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90.08%</w:t>
            </w:r>
          </w:p>
        </w:tc>
        <w:tc>
          <w:tcPr>
            <w:tcW w:w="677" w:type="pct"/>
            <w:gridSpan w:val="3"/>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20.00 </w:t>
            </w:r>
          </w:p>
        </w:tc>
        <w:tc>
          <w:tcPr>
            <w:tcW w:w="403"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18.02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基本支出</w:t>
            </w: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25,599.63 </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24,203.28 </w:t>
            </w:r>
          </w:p>
        </w:tc>
        <w:tc>
          <w:tcPr>
            <w:tcW w:w="932"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w:t>
            </w:r>
          </w:p>
        </w:tc>
        <w:tc>
          <w:tcPr>
            <w:tcW w:w="677" w:type="pct"/>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val="0"/>
                <w:i w:val="0"/>
                <w:iCs w:val="0"/>
                <w:color w:val="000000"/>
                <w:sz w:val="20"/>
                <w:szCs w:val="20"/>
                <w:u w:val="none"/>
              </w:rPr>
            </w:pPr>
          </w:p>
        </w:tc>
        <w:tc>
          <w:tcPr>
            <w:tcW w:w="403"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项目支出</w:t>
            </w: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38,650.34 </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33,673.57 </w:t>
            </w:r>
          </w:p>
        </w:tc>
        <w:tc>
          <w:tcPr>
            <w:tcW w:w="9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677" w:type="pct"/>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val="0"/>
                <w:i w:val="0"/>
                <w:iCs w:val="0"/>
                <w:color w:val="000000"/>
                <w:sz w:val="20"/>
                <w:szCs w:val="20"/>
                <w:u w:val="none"/>
              </w:rPr>
            </w:pPr>
          </w:p>
        </w:tc>
        <w:tc>
          <w:tcPr>
            <w:tcW w:w="403"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其他</w:t>
            </w: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val="0"/>
                <w:i w:val="0"/>
                <w:iCs w:val="0"/>
                <w:color w:val="000000"/>
                <w:sz w:val="18"/>
                <w:szCs w:val="18"/>
                <w:u w:val="none"/>
              </w:rPr>
            </w:pPr>
            <w:r>
              <w:rPr>
                <w:rFonts w:hint="eastAsia" w:ascii="宋体" w:hAnsi="宋体" w:eastAsia="宋体" w:cs="宋体"/>
                <w:b w:val="0"/>
                <w:i w:val="0"/>
                <w:iCs w:val="0"/>
                <w:color w:val="000000"/>
                <w:kern w:val="0"/>
                <w:sz w:val="18"/>
                <w:szCs w:val="18"/>
                <w:u w:val="none"/>
                <w:lang w:val="en-US" w:eastAsia="zh-CN" w:bidi="ar"/>
              </w:rPr>
              <w:t xml:space="preserve">0.00 </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val="0"/>
                <w:i w:val="0"/>
                <w:iCs w:val="0"/>
                <w:color w:val="000000"/>
                <w:sz w:val="18"/>
                <w:szCs w:val="18"/>
                <w:u w:val="none"/>
              </w:rPr>
            </w:pPr>
            <w:r>
              <w:rPr>
                <w:rFonts w:hint="eastAsia" w:ascii="宋体" w:hAnsi="宋体" w:eastAsia="宋体" w:cs="宋体"/>
                <w:b w:val="0"/>
                <w:i w:val="0"/>
                <w:iCs w:val="0"/>
                <w:color w:val="000000"/>
                <w:kern w:val="0"/>
                <w:sz w:val="18"/>
                <w:szCs w:val="18"/>
                <w:u w:val="none"/>
                <w:lang w:val="en-US" w:eastAsia="zh-CN" w:bidi="ar"/>
              </w:rPr>
              <w:t xml:space="preserve">0.00 </w:t>
            </w:r>
          </w:p>
        </w:tc>
        <w:tc>
          <w:tcPr>
            <w:tcW w:w="9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677" w:type="pct"/>
            <w:gridSpan w:val="3"/>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val="0"/>
                <w:i w:val="0"/>
                <w:iCs w:val="0"/>
                <w:color w:val="000000"/>
                <w:sz w:val="20"/>
                <w:szCs w:val="20"/>
                <w:u w:val="none"/>
              </w:rPr>
            </w:pPr>
          </w:p>
        </w:tc>
        <w:tc>
          <w:tcPr>
            <w:tcW w:w="403"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000" w:type="pct"/>
            <w:gridSpan w:val="1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val="0"/>
                <w:i w:val="0"/>
                <w:iCs w:val="0"/>
                <w:color w:val="000000"/>
                <w:sz w:val="18"/>
                <w:szCs w:val="18"/>
                <w:u w:val="none"/>
              </w:rPr>
            </w:pPr>
            <w:r>
              <w:rPr>
                <w:rFonts w:hint="eastAsia" w:ascii="宋体" w:hAnsi="宋体" w:eastAsia="宋体" w:cs="宋体"/>
                <w:b w:val="0"/>
                <w:i w:val="0"/>
                <w:iCs w:val="0"/>
                <w:color w:val="000000"/>
                <w:kern w:val="0"/>
                <w:sz w:val="18"/>
                <w:szCs w:val="18"/>
                <w:u w:val="none"/>
                <w:lang w:val="en-US" w:eastAsia="zh-CN" w:bidi="ar"/>
              </w:rPr>
              <w:t>二、</w:t>
            </w:r>
            <w:r>
              <w:rPr>
                <w:rStyle w:val="19"/>
                <w:b w:val="0"/>
                <w:lang w:val="en-US" w:eastAsia="zh-CN" w:bidi="ar"/>
              </w:rPr>
              <w:t>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4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一级指标</w:t>
            </w:r>
          </w:p>
        </w:tc>
        <w:tc>
          <w:tcPr>
            <w:tcW w:w="52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二级指标　</w:t>
            </w: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三级指标　</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指标值</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完成值</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w:t>
            </w:r>
            <w:r>
              <w:rPr>
                <w:rStyle w:val="21"/>
                <w:b w:val="0"/>
                <w:lang w:val="en-US" w:eastAsia="zh-CN" w:bidi="ar"/>
              </w:rPr>
              <w:t>分值</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w:t>
            </w:r>
            <w:r>
              <w:rPr>
                <w:rStyle w:val="21"/>
                <w:b w:val="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9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整体绩效目标实现情况（60分）</w:t>
            </w:r>
          </w:p>
        </w:tc>
        <w:tc>
          <w:tcPr>
            <w:tcW w:w="524"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产出</w:t>
            </w:r>
          </w:p>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（40分）</w:t>
            </w: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数量指标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站区数量＝7个（套）</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站区数量7个（套）</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数量指标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课题研究类项目</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课题研究类项目1个</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数量指标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制作宣传片</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作宣传片1套、宣传1次</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数量指标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信息系统维护</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完成信息系统维护12次</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数量指标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办公设备购置</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完成设备采购100台/套</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b w:val="0"/>
                <w:i w:val="0"/>
                <w:iCs w:val="0"/>
                <w:color w:val="000000"/>
                <w:sz w:val="20"/>
                <w:szCs w:val="20"/>
                <w:u w:val="none"/>
                <w:lang w:val="en-US"/>
              </w:rPr>
            </w:pPr>
            <w:r>
              <w:rPr>
                <w:rFonts w:hint="eastAsia" w:ascii="宋体" w:hAnsi="宋体" w:eastAsia="宋体" w:cs="宋体"/>
                <w:b w:val="0"/>
                <w:i w:val="0"/>
                <w:iCs w:val="0"/>
                <w:color w:val="000000"/>
                <w:kern w:val="0"/>
                <w:sz w:val="20"/>
                <w:szCs w:val="20"/>
                <w:u w:val="none"/>
                <w:lang w:val="en-US" w:eastAsia="zh-CN" w:bidi="ar"/>
              </w:rPr>
              <w:t>2</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4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一级指标</w:t>
            </w:r>
          </w:p>
        </w:tc>
        <w:tc>
          <w:tcPr>
            <w:tcW w:w="52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二级指标　</w:t>
            </w: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三级指标　</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指标值</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完成值</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 xml:space="preserve"> </w:t>
            </w:r>
            <w:r>
              <w:rPr>
                <w:rStyle w:val="21"/>
                <w:b w:val="0"/>
                <w:lang w:val="en-US" w:eastAsia="zh-CN" w:bidi="ar"/>
              </w:rPr>
              <w:t>分值</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 xml:space="preserve"> </w:t>
            </w:r>
            <w:r>
              <w:rPr>
                <w:rStyle w:val="21"/>
                <w:b w:val="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49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2"/>
                <w:sz w:val="20"/>
                <w:szCs w:val="20"/>
                <w:u w:val="none"/>
                <w:lang w:val="en-US" w:eastAsia="zh-CN" w:bidi="ar-SA"/>
              </w:rPr>
            </w:pPr>
            <w:r>
              <w:rPr>
                <w:rFonts w:hint="eastAsia" w:ascii="宋体" w:hAnsi="宋体" w:eastAsia="宋体" w:cs="宋体"/>
                <w:b w:val="0"/>
                <w:i w:val="0"/>
                <w:iCs w:val="0"/>
                <w:color w:val="000000"/>
                <w:kern w:val="0"/>
                <w:sz w:val="20"/>
                <w:szCs w:val="20"/>
                <w:u w:val="none"/>
                <w:lang w:val="en-US" w:eastAsia="zh-CN" w:bidi="ar"/>
              </w:rPr>
              <w:t>整体绩效目标实现情况（60分）</w:t>
            </w:r>
          </w:p>
        </w:tc>
        <w:tc>
          <w:tcPr>
            <w:tcW w:w="524"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产出</w:t>
            </w:r>
          </w:p>
          <w:p>
            <w:pPr>
              <w:keepNext w:val="0"/>
              <w:keepLines w:val="0"/>
              <w:widowControl/>
              <w:suppressLineNumbers w:val="0"/>
              <w:jc w:val="center"/>
              <w:textAlignment w:val="center"/>
              <w:rPr>
                <w:rFonts w:hint="eastAsia" w:ascii="宋体" w:hAnsi="宋体" w:eastAsia="宋体" w:cs="宋体"/>
                <w:b w:val="0"/>
                <w:i w:val="0"/>
                <w:iCs w:val="0"/>
                <w:color w:val="000000"/>
                <w:kern w:val="2"/>
                <w:sz w:val="20"/>
                <w:szCs w:val="20"/>
                <w:u w:val="none"/>
                <w:lang w:val="en-US" w:eastAsia="zh-CN" w:bidi="ar-SA"/>
              </w:rPr>
            </w:pPr>
            <w:r>
              <w:rPr>
                <w:rFonts w:hint="eastAsia" w:ascii="宋体" w:hAnsi="宋体" w:eastAsia="宋体" w:cs="宋体"/>
                <w:b w:val="0"/>
                <w:i w:val="0"/>
                <w:iCs w:val="0"/>
                <w:color w:val="000000"/>
                <w:kern w:val="0"/>
                <w:sz w:val="20"/>
                <w:szCs w:val="20"/>
                <w:u w:val="none"/>
                <w:lang w:val="en-US" w:eastAsia="zh-CN" w:bidi="ar"/>
              </w:rPr>
              <w:t>（40分）</w:t>
            </w: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质量指标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课题评审合格率≥100%</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1000" w:firstLineChars="50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100%</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2.5</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质量指标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18"/>
                <w:szCs w:val="18"/>
                <w:u w:val="none"/>
                <w:lang w:val="en-US" w:eastAsia="zh-CN" w:bidi="ar"/>
              </w:rPr>
              <w:t>出租车调度站正常运站率</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18"/>
                <w:szCs w:val="18"/>
                <w:u w:val="none"/>
                <w:lang w:val="en-US" w:eastAsia="zh-CN" w:bidi="ar"/>
              </w:rPr>
              <w:t>100%</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2.5</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质量指标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18"/>
                <w:szCs w:val="18"/>
                <w:u w:val="none"/>
                <w:lang w:val="en-US" w:eastAsia="zh-CN" w:bidi="ar"/>
              </w:rPr>
              <w:t>保障城市管理正常运转</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1080" w:firstLineChars="60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18"/>
                <w:szCs w:val="18"/>
                <w:u w:val="none"/>
                <w:lang w:val="en-US" w:eastAsia="zh-CN" w:bidi="ar"/>
              </w:rPr>
              <w:t>100%</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2.5</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质量指标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18"/>
                <w:szCs w:val="18"/>
                <w:u w:val="none"/>
                <w:lang w:val="en-US" w:eastAsia="zh-CN" w:bidi="ar"/>
              </w:rPr>
              <w:t>服务天数</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1080" w:firstLineChars="60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18"/>
                <w:szCs w:val="18"/>
                <w:u w:val="none"/>
                <w:lang w:val="en-US" w:eastAsia="zh-CN" w:bidi="ar"/>
              </w:rPr>
              <w:t>365天</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2.5</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时效指标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完成时效≤12月</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完成时效12月</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3</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时效指标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完成时效≤12月</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完成时效12月</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3</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时效指标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完成时效≤12月</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完成时效12月</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4</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成本指标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运行成本≤24337.039057万元</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运行成本24337.039057万元</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3</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成本指标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b w:val="0"/>
                <w:i w:val="0"/>
                <w:iCs w:val="0"/>
                <w:color w:val="000000"/>
                <w:sz w:val="20"/>
                <w:szCs w:val="20"/>
                <w:u w:val="none"/>
                <w:lang w:val="en-US"/>
              </w:rPr>
            </w:pPr>
            <w:r>
              <w:rPr>
                <w:rFonts w:hint="eastAsia" w:ascii="宋体" w:hAnsi="宋体" w:eastAsia="宋体" w:cs="宋体"/>
                <w:b w:val="0"/>
                <w:i w:val="0"/>
                <w:iCs w:val="0"/>
                <w:color w:val="000000"/>
                <w:kern w:val="0"/>
                <w:sz w:val="20"/>
                <w:szCs w:val="20"/>
                <w:u w:val="none"/>
                <w:lang w:val="en-US" w:eastAsia="zh-CN" w:bidi="ar"/>
              </w:rPr>
              <w:t>运行成本≤15202.692701万元</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运行成本15202.692701万元</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3</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4" w:hRule="atLeast"/>
        </w:trPr>
        <w:tc>
          <w:tcPr>
            <w:tcW w:w="4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52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20"/>
                <w:szCs w:val="20"/>
                <w:u w:val="none"/>
              </w:rPr>
            </w:pPr>
          </w:p>
        </w:tc>
        <w:tc>
          <w:tcPr>
            <w:tcW w:w="76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成本指标</w:t>
            </w:r>
          </w:p>
        </w:tc>
        <w:tc>
          <w:tcPr>
            <w:tcW w:w="120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运行成本≤15729.157501万元</w:t>
            </w:r>
          </w:p>
        </w:tc>
        <w:tc>
          <w:tcPr>
            <w:tcW w:w="932"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运行成本15729.157501万元</w:t>
            </w:r>
          </w:p>
        </w:tc>
        <w:tc>
          <w:tcPr>
            <w:tcW w:w="677"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4</w:t>
            </w:r>
          </w:p>
        </w:tc>
        <w:tc>
          <w:tcPr>
            <w:tcW w:w="40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7" w:hRule="atLeast"/>
        </w:trPr>
        <w:tc>
          <w:tcPr>
            <w:tcW w:w="5000" w:type="pct"/>
            <w:gridSpan w:val="1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val="0"/>
                <w:i w:val="0"/>
                <w:iCs w:val="0"/>
                <w:color w:val="000000"/>
                <w:sz w:val="18"/>
                <w:szCs w:val="18"/>
                <w:u w:val="none"/>
              </w:rPr>
            </w:pPr>
            <w:r>
              <w:rPr>
                <w:rFonts w:hint="eastAsia" w:ascii="宋体" w:hAnsi="宋体" w:eastAsia="宋体" w:cs="宋体"/>
                <w:b w:val="0"/>
                <w:i w:val="0"/>
                <w:iCs w:val="0"/>
                <w:color w:val="000000"/>
                <w:kern w:val="0"/>
                <w:sz w:val="18"/>
                <w:szCs w:val="18"/>
                <w:u w:val="none"/>
                <w:lang w:val="en-US" w:eastAsia="zh-CN" w:bidi="ar"/>
              </w:rPr>
              <w:t>三、</w:t>
            </w:r>
            <w:r>
              <w:rPr>
                <w:rFonts w:hint="eastAsia" w:ascii="宋体" w:hAnsi="宋体" w:eastAsia="宋体" w:cs="宋体"/>
                <w:b w:val="0"/>
                <w:i w:val="0"/>
                <w:iCs w:val="0"/>
                <w:color w:val="000000"/>
                <w:kern w:val="0"/>
                <w:sz w:val="20"/>
                <w:szCs w:val="20"/>
                <w:u w:val="none"/>
                <w:lang w:val="en-US" w:eastAsia="zh-CN" w:bidi="ar"/>
              </w:rPr>
              <w:t>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9" w:hRule="atLeast"/>
        </w:trPr>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一级指标</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二级指标</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三级指标</w:t>
            </w:r>
          </w:p>
        </w:tc>
        <w:tc>
          <w:tcPr>
            <w:tcW w:w="135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指标值</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完成值</w:t>
            </w: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分值</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 xml:space="preserve"> 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0" w:hRule="atLeast"/>
        </w:trPr>
        <w:tc>
          <w:tcPr>
            <w:tcW w:w="674"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预算管理情况</w:t>
            </w:r>
          </w:p>
          <w:p>
            <w:pPr>
              <w:keepNext w:val="0"/>
              <w:keepLines w:val="0"/>
              <w:widowControl/>
              <w:suppressLineNumbers w:val="0"/>
              <w:jc w:val="center"/>
              <w:textAlignment w:val="center"/>
              <w:rPr>
                <w:rFonts w:hint="default" w:ascii="宋体" w:hAnsi="宋体" w:eastAsia="宋体" w:cs="宋体"/>
                <w:b w:val="0"/>
                <w:i w:val="0"/>
                <w:iCs w:val="0"/>
                <w:color w:val="000000"/>
                <w:sz w:val="20"/>
                <w:szCs w:val="20"/>
                <w:u w:val="none"/>
                <w:lang w:val="en-US"/>
              </w:rPr>
            </w:pPr>
            <w:r>
              <w:rPr>
                <w:rFonts w:hint="eastAsia" w:ascii="宋体" w:hAnsi="宋体" w:eastAsia="宋体" w:cs="宋体"/>
                <w:b w:val="0"/>
                <w:i w:val="0"/>
                <w:iCs w:val="0"/>
                <w:color w:val="000000"/>
                <w:kern w:val="0"/>
                <w:sz w:val="20"/>
                <w:szCs w:val="20"/>
                <w:u w:val="none"/>
                <w:lang w:val="en-US" w:eastAsia="zh-CN" w:bidi="ar"/>
              </w:rPr>
              <w:t>（20分）</w:t>
            </w:r>
          </w:p>
        </w:tc>
        <w:tc>
          <w:tcPr>
            <w:tcW w:w="674"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宋体" w:hAnsi="宋体" w:eastAsia="宋体" w:cs="宋体"/>
                <w:b w:val="0"/>
                <w:i w:val="0"/>
                <w:iCs w:val="0"/>
                <w:color w:val="000000"/>
                <w:sz w:val="20"/>
                <w:szCs w:val="20"/>
                <w:u w:val="none"/>
                <w:lang w:val="en-US"/>
              </w:rPr>
            </w:pPr>
            <w:r>
              <w:rPr>
                <w:rFonts w:hint="eastAsia" w:ascii="宋体" w:hAnsi="宋体" w:eastAsia="宋体" w:cs="宋体"/>
                <w:b w:val="0"/>
                <w:i w:val="0"/>
                <w:iCs w:val="0"/>
                <w:color w:val="000000"/>
                <w:kern w:val="0"/>
                <w:sz w:val="20"/>
                <w:szCs w:val="20"/>
                <w:u w:val="none"/>
                <w:lang w:val="en-US" w:eastAsia="zh-CN" w:bidi="ar"/>
              </w:rPr>
              <w:t>财务管理（4分）</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财务管理制度健全性</w:t>
            </w:r>
          </w:p>
        </w:tc>
        <w:tc>
          <w:tcPr>
            <w:tcW w:w="135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宋体" w:hAnsi="宋体" w:eastAsia="宋体" w:cs="宋体"/>
                <w:b w:val="0"/>
                <w:i w:val="0"/>
                <w:iCs w:val="0"/>
                <w:color w:val="000000"/>
                <w:sz w:val="20"/>
                <w:szCs w:val="20"/>
                <w:u w:val="none"/>
                <w:lang w:val="en-US"/>
              </w:rPr>
            </w:pPr>
            <w:r>
              <w:rPr>
                <w:rFonts w:hint="eastAsia" w:ascii="宋体" w:hAnsi="宋体" w:eastAsia="宋体" w:cs="宋体"/>
                <w:b w:val="0"/>
                <w:i w:val="0"/>
                <w:iCs w:val="0"/>
                <w:color w:val="000000"/>
                <w:kern w:val="0"/>
                <w:sz w:val="20"/>
                <w:szCs w:val="20"/>
                <w:u w:val="none"/>
                <w:lang w:val="en-US" w:eastAsia="zh-CN" w:bidi="ar"/>
              </w:rPr>
              <w:t>①预算资金管理办法、绩效跟踪管理办法、资产管理办法等各项制度是否健全；②部门内部财务管理制度是否完整、合规；③会计核算制度是</w:t>
            </w:r>
            <w:bookmarkStart w:id="54" w:name="_GoBack"/>
            <w:bookmarkEnd w:id="54"/>
            <w:r>
              <w:rPr>
                <w:rFonts w:hint="eastAsia" w:ascii="宋体" w:hAnsi="宋体" w:eastAsia="宋体" w:cs="宋体"/>
                <w:b w:val="0"/>
                <w:i w:val="0"/>
                <w:iCs w:val="0"/>
                <w:color w:val="000000"/>
                <w:kern w:val="0"/>
                <w:sz w:val="20"/>
                <w:szCs w:val="20"/>
                <w:u w:val="none"/>
                <w:lang w:val="en-US" w:eastAsia="zh-CN" w:bidi="ar"/>
              </w:rPr>
              <w:t>否完整、合规。</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财务管理制度健全、核算完整合规。</w:t>
            </w: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1</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0" w:hRule="atLeast"/>
        </w:trPr>
        <w:tc>
          <w:tcPr>
            <w:tcW w:w="67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b w:val="0"/>
                <w:i w:val="0"/>
                <w:iCs w:val="0"/>
                <w:color w:val="000000"/>
                <w:sz w:val="20"/>
                <w:szCs w:val="20"/>
                <w:u w:val="none"/>
                <w:lang w:val="en-US"/>
              </w:rPr>
            </w:pPr>
          </w:p>
        </w:tc>
        <w:tc>
          <w:tcPr>
            <w:tcW w:w="67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宋体" w:hAnsi="宋体" w:eastAsia="宋体" w:cs="宋体"/>
                <w:b w:val="0"/>
                <w:i w:val="0"/>
                <w:iCs w:val="0"/>
                <w:color w:val="000000"/>
                <w:sz w:val="20"/>
                <w:szCs w:val="20"/>
                <w:u w:val="none"/>
                <w:lang w:val="en-US"/>
              </w:rPr>
            </w:pP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资金使用合规性和安全性</w:t>
            </w:r>
          </w:p>
        </w:tc>
        <w:tc>
          <w:tcPr>
            <w:tcW w:w="135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资金使用符合各项制度规定。</w:t>
            </w:r>
          </w:p>
        </w:tc>
        <w:tc>
          <w:tcPr>
            <w:tcW w:w="48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b w:val="0"/>
                <w:i w:val="0"/>
                <w:iCs w:val="0"/>
                <w:color w:val="000000"/>
                <w:kern w:val="2"/>
                <w:sz w:val="20"/>
                <w:szCs w:val="20"/>
                <w:u w:val="none"/>
                <w:lang w:val="en-US" w:eastAsia="zh-CN" w:bidi="ar-SA"/>
              </w:rPr>
            </w:pPr>
            <w:r>
              <w:rPr>
                <w:rFonts w:hint="eastAsia" w:ascii="宋体" w:hAnsi="宋体" w:eastAsia="宋体" w:cs="宋体"/>
                <w:b w:val="0"/>
                <w:i w:val="0"/>
                <w:iCs w:val="0"/>
                <w:color w:val="000000"/>
                <w:kern w:val="0"/>
                <w:sz w:val="20"/>
                <w:szCs w:val="20"/>
                <w:u w:val="none"/>
                <w:lang w:val="en-US" w:eastAsia="zh-CN" w:bidi="ar"/>
              </w:rPr>
              <w:t>一级指标</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2"/>
                <w:sz w:val="20"/>
                <w:szCs w:val="20"/>
                <w:u w:val="none"/>
                <w:lang w:val="en-US" w:eastAsia="zh-CN" w:bidi="ar-SA"/>
              </w:rPr>
            </w:pPr>
            <w:r>
              <w:rPr>
                <w:rFonts w:hint="eastAsia" w:ascii="宋体" w:hAnsi="宋体" w:eastAsia="宋体" w:cs="宋体"/>
                <w:b w:val="0"/>
                <w:i w:val="0"/>
                <w:iCs w:val="0"/>
                <w:color w:val="000000"/>
                <w:kern w:val="0"/>
                <w:sz w:val="20"/>
                <w:szCs w:val="20"/>
                <w:u w:val="none"/>
                <w:lang w:val="en-US" w:eastAsia="zh-CN" w:bidi="ar"/>
              </w:rPr>
              <w:t>二级指标</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2"/>
                <w:sz w:val="20"/>
                <w:szCs w:val="20"/>
                <w:u w:val="none"/>
                <w:lang w:val="en-US" w:eastAsia="zh-CN" w:bidi="ar-SA"/>
              </w:rPr>
            </w:pPr>
            <w:r>
              <w:rPr>
                <w:rFonts w:hint="eastAsia" w:ascii="宋体" w:hAnsi="宋体" w:eastAsia="宋体" w:cs="宋体"/>
                <w:b w:val="0"/>
                <w:i w:val="0"/>
                <w:iCs w:val="0"/>
                <w:color w:val="000000"/>
                <w:kern w:val="0"/>
                <w:sz w:val="20"/>
                <w:szCs w:val="20"/>
                <w:u w:val="none"/>
                <w:lang w:val="en-US" w:eastAsia="zh-CN" w:bidi="ar"/>
              </w:rPr>
              <w:t>三级指标</w:t>
            </w:r>
          </w:p>
        </w:tc>
        <w:tc>
          <w:tcPr>
            <w:tcW w:w="135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2"/>
                <w:sz w:val="20"/>
                <w:szCs w:val="20"/>
                <w:u w:val="none"/>
                <w:lang w:val="en-US" w:eastAsia="zh-CN" w:bidi="ar-SA"/>
              </w:rPr>
            </w:pPr>
            <w:r>
              <w:rPr>
                <w:rFonts w:hint="eastAsia" w:ascii="宋体" w:hAnsi="宋体" w:eastAsia="宋体" w:cs="宋体"/>
                <w:b w:val="0"/>
                <w:i w:val="0"/>
                <w:iCs w:val="0"/>
                <w:color w:val="000000"/>
                <w:kern w:val="0"/>
                <w:sz w:val="20"/>
                <w:szCs w:val="20"/>
                <w:u w:val="none"/>
                <w:lang w:val="en-US" w:eastAsia="zh-CN" w:bidi="ar"/>
              </w:rPr>
              <w:t>指标值</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imes New Roman" w:hAnsi="Times New Roman" w:eastAsia="宋体" w:cs="Times New Roman"/>
                <w:b w:val="0"/>
                <w:color w:val="000000"/>
                <w:kern w:val="2"/>
                <w:sz w:val="21"/>
                <w:szCs w:val="24"/>
                <w:lang w:val="en-US" w:eastAsia="zh-CN" w:bidi="ar-SA"/>
              </w:rPr>
            </w:pPr>
            <w:r>
              <w:rPr>
                <w:rFonts w:hint="eastAsia" w:ascii="宋体" w:hAnsi="宋体" w:eastAsia="宋体" w:cs="宋体"/>
                <w:b w:val="0"/>
                <w:i w:val="0"/>
                <w:iCs w:val="0"/>
                <w:color w:val="000000"/>
                <w:kern w:val="0"/>
                <w:sz w:val="20"/>
                <w:szCs w:val="20"/>
                <w:u w:val="none"/>
                <w:lang w:val="en-US" w:eastAsia="zh-CN" w:bidi="ar"/>
              </w:rPr>
              <w:t>完成值</w:t>
            </w:r>
          </w:p>
        </w:tc>
        <w:tc>
          <w:tcPr>
            <w:tcW w:w="4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2"/>
                <w:sz w:val="20"/>
                <w:szCs w:val="20"/>
                <w:u w:val="none"/>
                <w:lang w:val="en-US" w:eastAsia="zh-CN" w:bidi="ar-SA"/>
              </w:rPr>
            </w:pPr>
            <w:r>
              <w:rPr>
                <w:rFonts w:hint="eastAsia" w:ascii="宋体" w:hAnsi="宋体" w:eastAsia="宋体" w:cs="宋体"/>
                <w:b w:val="0"/>
                <w:i w:val="0"/>
                <w:iCs w:val="0"/>
                <w:color w:val="000000"/>
                <w:kern w:val="0"/>
                <w:sz w:val="20"/>
                <w:szCs w:val="20"/>
                <w:u w:val="none"/>
                <w:lang w:val="en-US" w:eastAsia="zh-CN" w:bidi="ar"/>
              </w:rPr>
              <w:t xml:space="preserve"> 分值</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imes New Roman" w:hAnsi="Times New Roman" w:eastAsia="宋体" w:cs="Times New Roman"/>
                <w:b w:val="0"/>
                <w:color w:val="000000"/>
                <w:kern w:val="2"/>
                <w:sz w:val="21"/>
                <w:szCs w:val="24"/>
                <w:lang w:val="en-US" w:eastAsia="zh-CN" w:bidi="ar-SA"/>
              </w:rPr>
            </w:pPr>
            <w:r>
              <w:rPr>
                <w:rFonts w:hint="eastAsia" w:ascii="宋体" w:hAnsi="宋体" w:eastAsia="宋体" w:cs="宋体"/>
                <w:b w:val="0"/>
                <w:i w:val="0"/>
                <w:iCs w:val="0"/>
                <w:color w:val="000000"/>
                <w:kern w:val="0"/>
                <w:sz w:val="20"/>
                <w:szCs w:val="20"/>
                <w:u w:val="none"/>
                <w:lang w:val="en-US" w:eastAsia="zh-CN" w:bidi="ar"/>
              </w:rPr>
              <w:t xml:space="preserve"> 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3" w:hRule="atLeast"/>
        </w:trPr>
        <w:tc>
          <w:tcPr>
            <w:tcW w:w="674" w:type="pct"/>
            <w:gridSpan w:val="2"/>
            <w:vMerge w:val="restar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预算管理情况</w:t>
            </w:r>
          </w:p>
          <w:p>
            <w:pPr>
              <w:keepNext w:val="0"/>
              <w:keepLines w:val="0"/>
              <w:widowControl/>
              <w:suppressLineNumbers w:val="0"/>
              <w:jc w:val="center"/>
              <w:textAlignment w:val="center"/>
              <w:rPr>
                <w:rFonts w:hint="default" w:ascii="宋体" w:hAnsi="宋体" w:eastAsia="宋体" w:cs="宋体"/>
                <w:b w:val="0"/>
                <w:i w:val="0"/>
                <w:iCs w:val="0"/>
                <w:color w:val="000000"/>
                <w:sz w:val="20"/>
                <w:szCs w:val="20"/>
                <w:u w:val="none"/>
                <w:lang w:val="en-US" w:eastAsia="zh-CN"/>
              </w:rPr>
            </w:pPr>
            <w:r>
              <w:rPr>
                <w:rFonts w:hint="eastAsia" w:ascii="宋体" w:hAnsi="宋体" w:eastAsia="宋体" w:cs="宋体"/>
                <w:b w:val="0"/>
                <w:i w:val="0"/>
                <w:iCs w:val="0"/>
                <w:color w:val="000000"/>
                <w:kern w:val="0"/>
                <w:sz w:val="20"/>
                <w:szCs w:val="20"/>
                <w:u w:val="none"/>
                <w:lang w:val="en-US" w:eastAsia="zh-CN" w:bidi="ar"/>
              </w:rPr>
              <w:t>（20分）</w:t>
            </w:r>
          </w:p>
        </w:tc>
        <w:tc>
          <w:tcPr>
            <w:tcW w:w="674"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财务管理（4分）</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会计基础信息完善性</w:t>
            </w:r>
          </w:p>
        </w:tc>
        <w:tc>
          <w:tcPr>
            <w:tcW w:w="135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宋体" w:hAnsi="宋体" w:eastAsia="宋体" w:cs="宋体"/>
                <w:b w:val="0"/>
                <w:i w:val="0"/>
                <w:iCs w:val="0"/>
                <w:color w:val="000000"/>
                <w:sz w:val="20"/>
                <w:szCs w:val="20"/>
                <w:u w:val="none"/>
                <w:lang w:val="en-US"/>
              </w:rPr>
            </w:pPr>
            <w:r>
              <w:rPr>
                <w:rFonts w:hint="eastAsia" w:ascii="宋体" w:hAnsi="宋体" w:eastAsia="宋体" w:cs="宋体"/>
                <w:b w:val="0"/>
                <w:i w:val="0"/>
                <w:iCs w:val="0"/>
                <w:color w:val="000000"/>
                <w:kern w:val="0"/>
                <w:sz w:val="20"/>
                <w:szCs w:val="20"/>
                <w:u w:val="none"/>
                <w:lang w:val="en-US" w:eastAsia="zh-CN" w:bidi="ar"/>
              </w:rPr>
              <w:t>①基础数据信息和会计信息资料是否真实；②基础数据信息和会计信息资料是否完整；③基础数据信息和会计信息资料是否准确。</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基础数据信息和会计信息资料真实、完整、准确。</w:t>
            </w:r>
          </w:p>
        </w:tc>
        <w:tc>
          <w:tcPr>
            <w:tcW w:w="4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1</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9" w:hRule="atLeast"/>
        </w:trPr>
        <w:tc>
          <w:tcPr>
            <w:tcW w:w="67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default" w:ascii="宋体" w:hAnsi="宋体" w:eastAsia="宋体" w:cs="宋体"/>
                <w:b w:val="0"/>
                <w:i w:val="0"/>
                <w:iCs w:val="0"/>
                <w:color w:val="000000"/>
                <w:sz w:val="20"/>
                <w:szCs w:val="20"/>
                <w:u w:val="none"/>
                <w:lang w:val="en-US" w:eastAsia="zh-CN"/>
              </w:rPr>
            </w:pPr>
          </w:p>
        </w:tc>
        <w:tc>
          <w:tcPr>
            <w:tcW w:w="67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b w:val="0"/>
                <w:i w:val="0"/>
                <w:iCs w:val="0"/>
                <w:color w:val="000000"/>
                <w:sz w:val="20"/>
                <w:szCs w:val="20"/>
                <w:u w:val="none"/>
              </w:rPr>
            </w:pP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资产管理规范性</w:t>
            </w:r>
          </w:p>
        </w:tc>
        <w:tc>
          <w:tcPr>
            <w:tcW w:w="135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①是否有因管理不当发生严重资产损失和丢失情况；②是否存在超标准配置资产；③资产使用是否规范，是否存在未经批准擅自出租、出借资产行为；④资产处置是否规范，是否存在不按要求进行报批或资产不公开处置行为；⑤其它资产管理制度办法执行情况。</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资产管理规范、配置合理。</w:t>
            </w:r>
          </w:p>
        </w:tc>
        <w:tc>
          <w:tcPr>
            <w:tcW w:w="4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4</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674" w:type="pct"/>
            <w:gridSpan w:val="2"/>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一级指标</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二级指标</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三级指标</w:t>
            </w:r>
          </w:p>
        </w:tc>
        <w:tc>
          <w:tcPr>
            <w:tcW w:w="135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指标值</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完成值</w:t>
            </w:r>
          </w:p>
        </w:tc>
        <w:tc>
          <w:tcPr>
            <w:tcW w:w="4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 xml:space="preserve"> 分值</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 xml:space="preserve"> 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预算管理情况</w:t>
            </w:r>
          </w:p>
          <w:p>
            <w:pPr>
              <w:jc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（20分）</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绩效管理</w:t>
            </w:r>
          </w:p>
          <w:p>
            <w:pPr>
              <w:pStyle w:val="2"/>
              <w:rPr>
                <w:rFonts w:hint="default"/>
                <w:b w:val="0"/>
                <w:color w:val="000000"/>
                <w:lang w:val="en-US"/>
              </w:rPr>
            </w:pPr>
            <w:r>
              <w:rPr>
                <w:rFonts w:hint="eastAsia" w:ascii="宋体" w:hAnsi="宋体" w:cs="宋体"/>
                <w:b w:val="0"/>
                <w:i w:val="0"/>
                <w:iCs w:val="0"/>
                <w:color w:val="000000"/>
                <w:kern w:val="0"/>
                <w:sz w:val="20"/>
                <w:szCs w:val="20"/>
                <w:u w:val="none"/>
                <w:lang w:val="en-US" w:eastAsia="zh-CN" w:bidi="ar"/>
              </w:rPr>
              <w:t>（4分）</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绩效管理情况</w:t>
            </w:r>
          </w:p>
        </w:tc>
        <w:tc>
          <w:tcPr>
            <w:tcW w:w="135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①部门（单位）是否及时对绩效信息进行汇总分析整理；②部门（单位）是否对绩效目标偏离情况及时进行矫正。</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市重点站区管委会及时对绩效信息进行汇总分析整理；开展了2024年部门预算绩效运行监控工作，对绩效目标偏离情况及时进行矫正。</w:t>
            </w:r>
          </w:p>
        </w:tc>
        <w:tc>
          <w:tcPr>
            <w:tcW w:w="4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4</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674"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预算管理情况</w:t>
            </w:r>
          </w:p>
          <w:p>
            <w:pP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（20分</w:t>
            </w:r>
            <w:r>
              <w:rPr>
                <w:rFonts w:hint="eastAsia" w:ascii="宋体" w:hAnsi="宋体" w:cs="宋体"/>
                <w:b w:val="0"/>
                <w:i w:val="0"/>
                <w:iCs w:val="0"/>
                <w:color w:val="000000"/>
                <w:kern w:val="0"/>
                <w:sz w:val="20"/>
                <w:szCs w:val="20"/>
                <w:u w:val="none"/>
                <w:lang w:val="en-US" w:eastAsia="zh-CN" w:bidi="ar"/>
              </w:rPr>
              <w:t>）</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指标　</w:t>
            </w:r>
          </w:p>
        </w:tc>
        <w:tc>
          <w:tcPr>
            <w:tcW w:w="2031"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2023年</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2024年</w:t>
            </w:r>
          </w:p>
        </w:tc>
        <w:tc>
          <w:tcPr>
            <w:tcW w:w="4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 xml:space="preserve"> 分值</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b w:val="0"/>
                <w:color w:val="000000"/>
              </w:rPr>
            </w:pPr>
            <w:r>
              <w:rPr>
                <w:rFonts w:hint="eastAsia" w:ascii="宋体" w:hAnsi="宋体" w:eastAsia="宋体" w:cs="宋体"/>
                <w:b w:val="0"/>
                <w:i w:val="0"/>
                <w:iCs w:val="0"/>
                <w:color w:val="000000"/>
                <w:kern w:val="0"/>
                <w:sz w:val="20"/>
                <w:szCs w:val="20"/>
                <w:u w:val="none"/>
                <w:lang w:val="en-US" w:eastAsia="zh-CN" w:bidi="ar"/>
              </w:rPr>
              <w:t xml:space="preserve"> 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67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b w:val="0"/>
                <w:i w:val="0"/>
                <w:iCs w:val="0"/>
                <w:color w:val="000000"/>
                <w:sz w:val="20"/>
                <w:szCs w:val="20"/>
                <w:u w:val="none"/>
              </w:rPr>
            </w:pP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结转结余率</w:t>
            </w:r>
          </w:p>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（4分）</w:t>
            </w:r>
          </w:p>
        </w:tc>
        <w:tc>
          <w:tcPr>
            <w:tcW w:w="2031"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12.70%</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9.92%</w:t>
            </w:r>
          </w:p>
        </w:tc>
        <w:tc>
          <w:tcPr>
            <w:tcW w:w="4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4</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67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b w:val="0"/>
                <w:i w:val="0"/>
                <w:iCs w:val="0"/>
                <w:color w:val="000000"/>
                <w:sz w:val="20"/>
                <w:szCs w:val="20"/>
                <w:u w:val="none"/>
              </w:rPr>
            </w:pP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部门预决算差异率（4分）</w:t>
            </w:r>
          </w:p>
        </w:tc>
        <w:tc>
          <w:tcPr>
            <w:tcW w:w="2031"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3.72%</w:t>
            </w: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9.92%</w:t>
            </w:r>
          </w:p>
        </w:tc>
        <w:tc>
          <w:tcPr>
            <w:tcW w:w="4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4</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sz w:val="20"/>
                <w:szCs w:val="20"/>
                <w:u w:val="none"/>
              </w:rPr>
            </w:pPr>
            <w:r>
              <w:rPr>
                <w:rFonts w:hint="eastAsia" w:ascii="宋体" w:hAnsi="宋体" w:eastAsia="宋体" w:cs="宋体"/>
                <w:b w:val="0"/>
                <w:i w:val="0"/>
                <w:iCs w:val="0"/>
                <w:color w:val="000000"/>
                <w:kern w:val="0"/>
                <w:sz w:val="20"/>
                <w:szCs w:val="20"/>
                <w:u w:val="none"/>
                <w:lang w:val="en-US" w:eastAsia="zh-CN" w:bidi="ar"/>
              </w:rPr>
              <w:t>合计</w:t>
            </w:r>
          </w:p>
        </w:tc>
        <w:tc>
          <w:tcPr>
            <w:tcW w:w="674"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kern w:val="0"/>
                <w:sz w:val="20"/>
                <w:szCs w:val="20"/>
                <w:u w:val="none"/>
                <w:lang w:val="en-US" w:eastAsia="zh-CN" w:bidi="ar"/>
              </w:rPr>
            </w:pPr>
          </w:p>
        </w:tc>
        <w:tc>
          <w:tcPr>
            <w:tcW w:w="2031"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kern w:val="0"/>
                <w:sz w:val="20"/>
                <w:szCs w:val="20"/>
                <w:u w:val="none"/>
                <w:lang w:val="en-US" w:eastAsia="zh-CN" w:bidi="ar"/>
              </w:rPr>
            </w:pPr>
          </w:p>
        </w:tc>
        <w:tc>
          <w:tcPr>
            <w:tcW w:w="66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kern w:val="0"/>
                <w:sz w:val="20"/>
                <w:szCs w:val="20"/>
                <w:u w:val="none"/>
                <w:lang w:val="en-US" w:eastAsia="zh-CN" w:bidi="ar"/>
              </w:rPr>
            </w:pPr>
          </w:p>
        </w:tc>
        <w:tc>
          <w:tcPr>
            <w:tcW w:w="48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100</w:t>
            </w:r>
          </w:p>
        </w:tc>
        <w:tc>
          <w:tcPr>
            <w:tcW w:w="47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i w:val="0"/>
                <w:iCs w:val="0"/>
                <w:color w:val="000000"/>
                <w:kern w:val="0"/>
                <w:sz w:val="20"/>
                <w:szCs w:val="20"/>
                <w:u w:val="none"/>
                <w:lang w:val="en-US" w:eastAsia="zh-CN" w:bidi="ar"/>
              </w:rPr>
            </w:pPr>
            <w:r>
              <w:rPr>
                <w:rFonts w:hint="eastAsia" w:ascii="宋体" w:hAnsi="宋体" w:eastAsia="宋体" w:cs="宋体"/>
                <w:b w:val="0"/>
                <w:i w:val="0"/>
                <w:iCs w:val="0"/>
                <w:color w:val="000000"/>
                <w:kern w:val="0"/>
                <w:sz w:val="20"/>
                <w:szCs w:val="20"/>
                <w:u w:val="none"/>
                <w:lang w:val="en-US" w:eastAsia="zh-CN" w:bidi="ar"/>
              </w:rPr>
              <w:t>93.02</w:t>
            </w:r>
          </w:p>
        </w:tc>
      </w:tr>
    </w:tbl>
    <w:p>
      <w:pPr>
        <w:rPr>
          <w:rFonts w:hint="eastAsia"/>
        </w:rPr>
      </w:pPr>
    </w:p>
    <w:p/>
    <w:sectPr>
      <w:footerReference r:id="rId5"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_GB2312">
    <w:altName w:val="DejaVu Math TeX Gyre"/>
    <w:panose1 w:val="00000000000000000000"/>
    <w:charset w:val="00"/>
    <w:family w:val="auto"/>
    <w:pitch w:val="default"/>
    <w:sig w:usb0="00000000" w:usb1="00000000" w:usb2="00000000" w:usb3="00000000" w:csb0="00000001"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uJ/hIwIAADc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jr0h06MPErs6lRyl0265v&#10;dWvKIzp15kwVb/m6Rikb5sMjc+AGygffwwMOqQxSml6ipDLu89/eoz9GBislLbhWUI1loES90xhl&#10;pOUguEHYDoLeN3cG5B1jjyxPIj64oAZROtN8whKsYg7JlEdgpjmyYVCDeBeg9UYsExer1UXfW1fv&#10;qutnENOysNFPlvejjuh5u9oHoJ2GEDE7A4XhRQXsTGPsNynS/1c9eV33ffk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s0lY7tAAAAAFAQAADwAAAAAAAAABACAAAAA4AAAAZHJzL2Rvd25yZXYueG1s&#10;UEsBAhQAFAAAAAgAh07iQJe4n+EjAgAANwQAAA4AAAAAAAAAAQAgAAAANQEAAGRycy9lMm9Eb2Mu&#10;eG1sUEsFBgAAAAAGAAYAWQEAAMo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LNJWO7QAAAABQEAAA8AAAAAAAAAAQAgAAAAOAAAAGRycy9kb3ducmV2LnhtbFBL&#10;AQIUABQAAAAIAIdO4kB0726mIQIAADkEAAAOAAAAAAAAAAEAIAAAADUBAABkcnMvZTJvRG9jLnht&#10;bFBLBQYAAAAABgAGAFkBAADI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E29025"/>
    <w:multiLevelType w:val="singleLevel"/>
    <w:tmpl w:val="35E2902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3MzUyMGY5NDI0ZjU0NTlmNGJkNTcyYjc0NzU2OTEifQ=="/>
  </w:docVars>
  <w:rsids>
    <w:rsidRoot w:val="0031681F"/>
    <w:rsid w:val="000E30FD"/>
    <w:rsid w:val="00277DEE"/>
    <w:rsid w:val="0031681F"/>
    <w:rsid w:val="004B1EFD"/>
    <w:rsid w:val="0052724E"/>
    <w:rsid w:val="007840E0"/>
    <w:rsid w:val="008862F8"/>
    <w:rsid w:val="00A81A87"/>
    <w:rsid w:val="00B13DC6"/>
    <w:rsid w:val="00B1781A"/>
    <w:rsid w:val="00E552E7"/>
    <w:rsid w:val="00EA5BA0"/>
    <w:rsid w:val="00EC5FDC"/>
    <w:rsid w:val="01175F16"/>
    <w:rsid w:val="012C1508"/>
    <w:rsid w:val="024047CD"/>
    <w:rsid w:val="03914CEF"/>
    <w:rsid w:val="03D25B79"/>
    <w:rsid w:val="040C4C3E"/>
    <w:rsid w:val="04192FB6"/>
    <w:rsid w:val="047A1114"/>
    <w:rsid w:val="056A1FCC"/>
    <w:rsid w:val="05863A26"/>
    <w:rsid w:val="05A607FA"/>
    <w:rsid w:val="07267E44"/>
    <w:rsid w:val="07452A3A"/>
    <w:rsid w:val="08AE6E83"/>
    <w:rsid w:val="096B3218"/>
    <w:rsid w:val="0A0726B5"/>
    <w:rsid w:val="0B812883"/>
    <w:rsid w:val="0C0B13B7"/>
    <w:rsid w:val="0C2C1FEE"/>
    <w:rsid w:val="0C6B45F7"/>
    <w:rsid w:val="0D3A6AEC"/>
    <w:rsid w:val="0E7038C0"/>
    <w:rsid w:val="0FBD2D54"/>
    <w:rsid w:val="0FE5719E"/>
    <w:rsid w:val="106D027E"/>
    <w:rsid w:val="111B6540"/>
    <w:rsid w:val="11637D55"/>
    <w:rsid w:val="11D01765"/>
    <w:rsid w:val="13264F2E"/>
    <w:rsid w:val="13AD35B4"/>
    <w:rsid w:val="156C65E0"/>
    <w:rsid w:val="15AE235B"/>
    <w:rsid w:val="160057F2"/>
    <w:rsid w:val="168B10C2"/>
    <w:rsid w:val="16B15AA0"/>
    <w:rsid w:val="16BE5FBD"/>
    <w:rsid w:val="17B76D45"/>
    <w:rsid w:val="17CE14B8"/>
    <w:rsid w:val="185B0D53"/>
    <w:rsid w:val="18C179CD"/>
    <w:rsid w:val="1997149E"/>
    <w:rsid w:val="19A54BF8"/>
    <w:rsid w:val="1A037030"/>
    <w:rsid w:val="1AEB0D31"/>
    <w:rsid w:val="1B041BC6"/>
    <w:rsid w:val="1BC341B4"/>
    <w:rsid w:val="1C8B2EE1"/>
    <w:rsid w:val="1CBC2932"/>
    <w:rsid w:val="1DE35A9D"/>
    <w:rsid w:val="1E844445"/>
    <w:rsid w:val="1ED938B7"/>
    <w:rsid w:val="1F15637C"/>
    <w:rsid w:val="1F45026D"/>
    <w:rsid w:val="20631369"/>
    <w:rsid w:val="21BB75FA"/>
    <w:rsid w:val="21DF01FE"/>
    <w:rsid w:val="23270D74"/>
    <w:rsid w:val="253432D4"/>
    <w:rsid w:val="261E020C"/>
    <w:rsid w:val="26C977EE"/>
    <w:rsid w:val="26FE3B9A"/>
    <w:rsid w:val="273D46C2"/>
    <w:rsid w:val="277001C4"/>
    <w:rsid w:val="27FF5C03"/>
    <w:rsid w:val="282A78D1"/>
    <w:rsid w:val="294C4684"/>
    <w:rsid w:val="29535AA8"/>
    <w:rsid w:val="297D6E28"/>
    <w:rsid w:val="29932436"/>
    <w:rsid w:val="2ADC0C80"/>
    <w:rsid w:val="2B3202B6"/>
    <w:rsid w:val="2B461EE9"/>
    <w:rsid w:val="2B8C0B36"/>
    <w:rsid w:val="2BFD698C"/>
    <w:rsid w:val="2F041F69"/>
    <w:rsid w:val="303233A9"/>
    <w:rsid w:val="3075265F"/>
    <w:rsid w:val="30EE0170"/>
    <w:rsid w:val="30F67AE6"/>
    <w:rsid w:val="3122506D"/>
    <w:rsid w:val="31336B36"/>
    <w:rsid w:val="31DE3A9E"/>
    <w:rsid w:val="32230959"/>
    <w:rsid w:val="32C133EE"/>
    <w:rsid w:val="33362F81"/>
    <w:rsid w:val="33CA2CC9"/>
    <w:rsid w:val="340622E0"/>
    <w:rsid w:val="349472EA"/>
    <w:rsid w:val="351153E0"/>
    <w:rsid w:val="3634271A"/>
    <w:rsid w:val="372525AE"/>
    <w:rsid w:val="37623CD1"/>
    <w:rsid w:val="3810124E"/>
    <w:rsid w:val="38247742"/>
    <w:rsid w:val="38433524"/>
    <w:rsid w:val="38A10829"/>
    <w:rsid w:val="38C74734"/>
    <w:rsid w:val="392B64B5"/>
    <w:rsid w:val="3A1A4D37"/>
    <w:rsid w:val="3A6C4D8B"/>
    <w:rsid w:val="3AA156F3"/>
    <w:rsid w:val="3AF9494C"/>
    <w:rsid w:val="3CC1321B"/>
    <w:rsid w:val="3D7FD36A"/>
    <w:rsid w:val="3E611186"/>
    <w:rsid w:val="3F550E71"/>
    <w:rsid w:val="3FC24CAB"/>
    <w:rsid w:val="41C4608C"/>
    <w:rsid w:val="41CA3F80"/>
    <w:rsid w:val="43BB117D"/>
    <w:rsid w:val="442F52BE"/>
    <w:rsid w:val="47C63240"/>
    <w:rsid w:val="487E23A1"/>
    <w:rsid w:val="48FA020D"/>
    <w:rsid w:val="49251803"/>
    <w:rsid w:val="4C9515D8"/>
    <w:rsid w:val="4DBC3CE3"/>
    <w:rsid w:val="4E3C1596"/>
    <w:rsid w:val="4E9D36CA"/>
    <w:rsid w:val="4EA25261"/>
    <w:rsid w:val="4ECA3178"/>
    <w:rsid w:val="50CA2BBB"/>
    <w:rsid w:val="50D650BC"/>
    <w:rsid w:val="510D767B"/>
    <w:rsid w:val="515E4AC3"/>
    <w:rsid w:val="519563CB"/>
    <w:rsid w:val="523F0236"/>
    <w:rsid w:val="524349D3"/>
    <w:rsid w:val="527270E8"/>
    <w:rsid w:val="53100C94"/>
    <w:rsid w:val="53474416"/>
    <w:rsid w:val="537742C5"/>
    <w:rsid w:val="543D5452"/>
    <w:rsid w:val="54B03E76"/>
    <w:rsid w:val="564C575A"/>
    <w:rsid w:val="568C725B"/>
    <w:rsid w:val="57482A8C"/>
    <w:rsid w:val="580469B3"/>
    <w:rsid w:val="595C16D5"/>
    <w:rsid w:val="595D52E9"/>
    <w:rsid w:val="5A3E31F1"/>
    <w:rsid w:val="5B0605EA"/>
    <w:rsid w:val="5B0F44E3"/>
    <w:rsid w:val="5BC8419B"/>
    <w:rsid w:val="5BDB2B72"/>
    <w:rsid w:val="5C693288"/>
    <w:rsid w:val="5CA63460"/>
    <w:rsid w:val="5DB34F59"/>
    <w:rsid w:val="5DFA4633"/>
    <w:rsid w:val="5F4607D7"/>
    <w:rsid w:val="5F64443F"/>
    <w:rsid w:val="5F942323"/>
    <w:rsid w:val="602F0115"/>
    <w:rsid w:val="604B7C37"/>
    <w:rsid w:val="60801015"/>
    <w:rsid w:val="60E4175B"/>
    <w:rsid w:val="60F03F78"/>
    <w:rsid w:val="614E0C9F"/>
    <w:rsid w:val="6197060F"/>
    <w:rsid w:val="61A42FB4"/>
    <w:rsid w:val="61AE19CB"/>
    <w:rsid w:val="61E04F3C"/>
    <w:rsid w:val="61ED1051"/>
    <w:rsid w:val="620946D9"/>
    <w:rsid w:val="624A1D40"/>
    <w:rsid w:val="634F746F"/>
    <w:rsid w:val="63534C92"/>
    <w:rsid w:val="637C0903"/>
    <w:rsid w:val="6417181C"/>
    <w:rsid w:val="645A6E6C"/>
    <w:rsid w:val="64C50907"/>
    <w:rsid w:val="64DD2A65"/>
    <w:rsid w:val="6518584B"/>
    <w:rsid w:val="658911F5"/>
    <w:rsid w:val="659155FE"/>
    <w:rsid w:val="65BE0F69"/>
    <w:rsid w:val="65F8243B"/>
    <w:rsid w:val="66EF4CD2"/>
    <w:rsid w:val="67917600"/>
    <w:rsid w:val="67FD104D"/>
    <w:rsid w:val="685968A7"/>
    <w:rsid w:val="68961AA0"/>
    <w:rsid w:val="689664C7"/>
    <w:rsid w:val="68B24209"/>
    <w:rsid w:val="69BE6932"/>
    <w:rsid w:val="69E46644"/>
    <w:rsid w:val="6ACC2515"/>
    <w:rsid w:val="6ACD0E92"/>
    <w:rsid w:val="6ADC309B"/>
    <w:rsid w:val="6D596CF4"/>
    <w:rsid w:val="6DA771C7"/>
    <w:rsid w:val="6F23304B"/>
    <w:rsid w:val="704A7169"/>
    <w:rsid w:val="708717DA"/>
    <w:rsid w:val="70DA60AB"/>
    <w:rsid w:val="72F148F0"/>
    <w:rsid w:val="740521B9"/>
    <w:rsid w:val="740E3B7A"/>
    <w:rsid w:val="74850B04"/>
    <w:rsid w:val="76261D92"/>
    <w:rsid w:val="78E360E5"/>
    <w:rsid w:val="79CB027A"/>
    <w:rsid w:val="7A9F67D4"/>
    <w:rsid w:val="7AD448DC"/>
    <w:rsid w:val="7B161D54"/>
    <w:rsid w:val="7B5B40B2"/>
    <w:rsid w:val="7C266648"/>
    <w:rsid w:val="7CB579CC"/>
    <w:rsid w:val="7DB70CEA"/>
    <w:rsid w:val="7E834D79"/>
    <w:rsid w:val="7F2B0A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99"/>
    <w:pPr>
      <w:ind w:firstLine="420"/>
    </w:pPr>
    <w:rPr>
      <w:szCs w:val="20"/>
    </w:rPr>
  </w:style>
  <w:style w:type="paragraph" w:styleId="3">
    <w:name w:val="toc 8"/>
    <w:basedOn w:val="1"/>
    <w:next w:val="1"/>
    <w:qFormat/>
    <w:uiPriority w:val="0"/>
    <w:pPr>
      <w:ind w:left="1470"/>
      <w:jc w:val="left"/>
    </w:pPr>
    <w:rPr>
      <w:sz w:val="20"/>
      <w:szCs w:val="20"/>
    </w:rPr>
  </w:style>
  <w:style w:type="paragraph" w:styleId="4">
    <w:name w:val="annotation text"/>
    <w:basedOn w:val="1"/>
    <w:qFormat/>
    <w:uiPriority w:val="0"/>
    <w:pPr>
      <w:jc w:val="left"/>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character" w:customStyle="1" w:styleId="15">
    <w:name w:val="批注框文本 字符"/>
    <w:basedOn w:val="12"/>
    <w:link w:val="5"/>
    <w:qFormat/>
    <w:uiPriority w:val="0"/>
    <w:rPr>
      <w:kern w:val="2"/>
      <w:sz w:val="18"/>
      <w:szCs w:val="18"/>
    </w:rPr>
  </w:style>
  <w:style w:type="paragraph" w:customStyle="1" w:styleId="16">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customStyle="1" w:styleId="17">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8">
    <w:name w:val="font31"/>
    <w:basedOn w:val="12"/>
    <w:qFormat/>
    <w:uiPriority w:val="0"/>
    <w:rPr>
      <w:rFonts w:hint="eastAsia" w:ascii="宋体" w:hAnsi="宋体" w:eastAsia="宋体" w:cs="宋体"/>
      <w:color w:val="000000"/>
      <w:sz w:val="18"/>
      <w:szCs w:val="18"/>
      <w:u w:val="none"/>
    </w:rPr>
  </w:style>
  <w:style w:type="character" w:customStyle="1" w:styleId="19">
    <w:name w:val="font41"/>
    <w:basedOn w:val="12"/>
    <w:qFormat/>
    <w:uiPriority w:val="0"/>
    <w:rPr>
      <w:rFonts w:hint="eastAsia" w:ascii="宋体" w:hAnsi="宋体" w:eastAsia="宋体" w:cs="宋体"/>
      <w:color w:val="000000"/>
      <w:sz w:val="20"/>
      <w:szCs w:val="20"/>
      <w:u w:val="none"/>
    </w:rPr>
  </w:style>
  <w:style w:type="character" w:customStyle="1" w:styleId="20">
    <w:name w:val="font21"/>
    <w:basedOn w:val="12"/>
    <w:qFormat/>
    <w:uiPriority w:val="0"/>
    <w:rPr>
      <w:rFonts w:hint="eastAsia" w:ascii="宋体" w:hAnsi="宋体" w:eastAsia="宋体" w:cs="宋体"/>
      <w:color w:val="000000"/>
      <w:sz w:val="18"/>
      <w:szCs w:val="18"/>
      <w:u w:val="none"/>
    </w:rPr>
  </w:style>
  <w:style w:type="character" w:customStyle="1" w:styleId="21">
    <w:name w:val="font1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16</Pages>
  <Words>4526</Words>
  <Characters>4850</Characters>
  <Lines>60</Lines>
  <Paragraphs>17</Paragraphs>
  <TotalTime>0</TotalTime>
  <ScaleCrop>false</ScaleCrop>
  <LinksUpToDate>false</LinksUpToDate>
  <CharactersWithSpaces>4947</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2022-04-29T13:38:00Z</dcterms:created>
  <dc:creator>user</dc:creator>
  <cp:lastModifiedBy>lenovo</cp:lastModifiedBy>
  <cp:lastPrinted>2025-08-25T20:55:00Z</cp:lastPrinted>
  <dcterms:modified xsi:type="dcterms:W3CDTF">2025-08-26T14:44:13Z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34B71B242A2643BFA54BF88B5F10BED1_13</vt:lpwstr>
  </property>
  <property fmtid="{D5CDD505-2E9C-101B-9397-08002B2CF9AE}" pid="4" name="KSOTemplateDocerSaveRecord">
    <vt:lpwstr>eyJoZGlkIjoiMDljYzUzMWQ4OWI0YzBkYjYzMDRhZTY5ZjZkYmFmYTgiLCJ1c2VySWQiOiI0Njc3MTAwNjMifQ==</vt:lpwstr>
  </property>
</Properties>
</file>