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宋体" w:cs="Times New Roman"/>
          <w:b/>
          <w:bCs/>
          <w:color w:val="000000"/>
          <w:kern w:val="0"/>
          <w:sz w:val="24"/>
          <w:szCs w:val="24"/>
          <w:shd w:val="clear" w:color="auto" w:fill="FFFFFF"/>
        </w:rPr>
      </w:pPr>
      <w:r>
        <w:rPr>
          <w:rFonts w:ascii="Times New Roman" w:hAnsi="Times New Roman" w:eastAsia="宋体" w:cs="Times New Roman"/>
          <w:b/>
          <w:bCs/>
          <w:color w:val="000000"/>
          <w:kern w:val="0"/>
          <w:sz w:val="24"/>
          <w:szCs w:val="24"/>
          <w:shd w:val="clear" w:color="auto" w:fill="FFFFFF"/>
        </w:rPr>
        <w:t>附件二</w:t>
      </w:r>
    </w:p>
    <w:p>
      <w:pPr>
        <w:pStyle w:val="4"/>
        <w:numPr>
          <w:ilvl w:val="0"/>
          <w:numId w:val="0"/>
        </w:numPr>
        <w:tabs>
          <w:tab w:val="left" w:pos="480"/>
        </w:tabs>
        <w:spacing w:before="0" w:after="0" w:line="360" w:lineRule="auto"/>
        <w:ind w:left="425" w:hanging="425"/>
        <w:jc w:val="center"/>
        <w:rPr>
          <w:rFonts w:ascii="Times New Roman" w:hAnsi="Times New Roman" w:eastAsia="宋体" w:cs="Times New Roman"/>
          <w:sz w:val="24"/>
          <w:szCs w:val="24"/>
        </w:rPr>
      </w:pPr>
      <w:r>
        <w:rPr>
          <w:rFonts w:ascii="Times New Roman" w:hAnsi="Times New Roman" w:eastAsia="宋体" w:cs="Times New Roman"/>
          <w:sz w:val="24"/>
          <w:szCs w:val="24"/>
        </w:rPr>
        <w:t>采购需求</w:t>
      </w:r>
    </w:p>
    <w:p>
      <w:pPr>
        <w:numPr>
          <w:ilvl w:val="0"/>
          <w:numId w:val="4"/>
        </w:numPr>
        <w:spacing w:line="56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项目总体概述及背景</w:t>
      </w:r>
    </w:p>
    <w:p>
      <w:pPr>
        <w:spacing w:line="560" w:lineRule="exact"/>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供应商</w:t>
      </w:r>
      <w:r>
        <w:rPr>
          <w:rFonts w:ascii="Times New Roman" w:hAnsi="Times New Roman" w:eastAsia="宋体" w:cs="Times New Roman"/>
          <w:color w:val="000000" w:themeColor="text1"/>
          <w:sz w:val="24"/>
          <w:szCs w:val="24"/>
          <w14:textFill>
            <w14:solidFill>
              <w14:schemeClr w14:val="tx1"/>
            </w14:solidFill>
          </w14:textFill>
        </w:rPr>
        <w:t>负责西站地区北广场停车场（P1、P2、P3、P5、P6停车场）收费系统与监控系统的运行维护服务。</w:t>
      </w:r>
    </w:p>
    <w:p>
      <w:pPr>
        <w:numPr>
          <w:ilvl w:val="0"/>
          <w:numId w:val="4"/>
        </w:numPr>
        <w:spacing w:line="56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项目名称</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北京西站地区北广场停车场运维服务项目</w:t>
      </w:r>
    </w:p>
    <w:p>
      <w:pPr>
        <w:numPr>
          <w:ilvl w:val="0"/>
          <w:numId w:val="4"/>
        </w:numPr>
        <w:spacing w:line="56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项目预算</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人民币</w:t>
      </w:r>
      <w:r>
        <w:rPr>
          <w:rFonts w:hint="eastAsia" w:ascii="Times New Roman" w:hAnsi="Times New Roman" w:eastAsia="宋体" w:cs="Times New Roman"/>
          <w:sz w:val="24"/>
          <w:szCs w:val="24"/>
        </w:rPr>
        <w:t>34</w:t>
      </w:r>
      <w:r>
        <w:rPr>
          <w:rFonts w:ascii="Times New Roman" w:hAnsi="Times New Roman" w:eastAsia="宋体" w:cs="Times New Roman"/>
          <w:sz w:val="24"/>
          <w:szCs w:val="24"/>
        </w:rPr>
        <w:t>万元</w:t>
      </w:r>
    </w:p>
    <w:p>
      <w:pPr>
        <w:numPr>
          <w:ilvl w:val="0"/>
          <w:numId w:val="4"/>
        </w:numPr>
        <w:spacing w:line="56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服务期限</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自合同签订生效之日起至2023年12月31日</w:t>
      </w:r>
    </w:p>
    <w:p>
      <w:pPr>
        <w:numPr>
          <w:ilvl w:val="0"/>
          <w:numId w:val="4"/>
        </w:numPr>
        <w:spacing w:line="56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项目要求</w:t>
      </w:r>
    </w:p>
    <w:p>
      <w:pPr>
        <w:spacing w:line="560" w:lineRule="exact"/>
        <w:ind w:firstLine="482" w:firstLineChars="200"/>
        <w:rPr>
          <w:rFonts w:ascii="Times New Roman" w:hAnsi="Times New Roman" w:eastAsia="宋体" w:cs="Times New Roman"/>
          <w:b/>
          <w:bCs/>
          <w:sz w:val="24"/>
          <w:szCs w:val="24"/>
        </w:rPr>
      </w:pPr>
      <w:bookmarkStart w:id="0" w:name="_Hlk120829489"/>
      <w:r>
        <w:rPr>
          <w:rFonts w:ascii="Times New Roman" w:hAnsi="Times New Roman" w:eastAsia="宋体" w:cs="Times New Roman"/>
          <w:b/>
          <w:bCs/>
          <w:sz w:val="24"/>
          <w:szCs w:val="24"/>
        </w:rPr>
        <w:t>（一）项目职责和技术要求</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1、供应商应制定并完善针对西站地区停车场收费系统与监控系统的运行维护项目的运营管理方案，建立健全相关管理制度和流程，严格执行，持续改进，并服从监督检查、考核评价。</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2、供应商应做好收费系统与监控系统的运行维护的安全生产工作，确保24小时正常，确保软、硬件设备设施安全、可靠。</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3、供应商应确保P1、 P2、P3、P5、P6停车场进出口设备硬件的正常运行（包括闸机、一体机、收费电脑等）。当出现硬件设备损坏、不运行、闸机起落运行不正常等情况时，及时响应并对故障设备进行维修、调试；定期对设备进行维护与保养。</w:t>
      </w:r>
    </w:p>
    <w:bookmarkEnd w:id="0"/>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4、供应商应确保Pl、P2、P3、P5、P6停车场收费系统软件的联动性、完整性、准确性和稳定性，计算机与收费系统时间同步，保证系统数据的有效性。</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5、供应商应确保Pl、P2、P3、P5、P6电子支付（微信、支付宝、场内支付码）、ETC支付等相关应用软件及网络信息传输的正常运行。出现问题，及时与第三方支付平台以及相关部门进行沟通与处理。</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6、供应商应确保停车场收费系统服务器的正常运行，确保数据（如车辆信息、收费信息等）完整、准确。检查历史数据库中数据的完整性并对数据库的数据进行备份，当服务器数据发生错误时进行数据恢复。</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7、供应商应及时处理进出口车辆或场内车辆与项目内硬件设备设施（含附属物品）的相互受损理赔事件及相关工作。</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8、供应商应负责停车场监控维保：确保监控系统的正常稳定运行；确保硬盘录像机的存储、回放等相关功能正常使用；确保监控大屏画面正常显示，出现问题及时进行维保。</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9、供应商应负责停车场诱导信息显示大屏（7块）维保，确保屏幕软硬件正常使用；负责进行软件升级、维护。</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10、供应商应负责相关软硬件的质保，及时处理各类故障和进行日常保养。如供应商提供并安装的专用设备和配套系统自身出现故障或质量问题，由供应商负责维修、更换，以尽快恢复项目的正常运行。</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11、供应商应为停车场工作人员提供季度业务培训，确保为用户提供优质服务。</w:t>
      </w:r>
    </w:p>
    <w:p>
      <w:pPr>
        <w:spacing w:line="5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12、供应商应全年365天派出1名专职人员在P3停车场监控室于9:00-19:00进行10小时值守，该专职人员应能够独立完成日常运维服务工作。出现故障后，供应商需增派运维团队，在1小时内到场抢修。</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3</w:t>
      </w:r>
      <w:r>
        <w:rPr>
          <w:rFonts w:ascii="Times New Roman" w:hAnsi="Times New Roman" w:eastAsia="宋体" w:cs="Times New Roman"/>
          <w:sz w:val="24"/>
          <w:szCs w:val="24"/>
        </w:rPr>
        <w:t>、供应商应在春运、暑运、小长假、重要会议、重要活动等期间派遣1名运维工程师在P3停车场监控室</w:t>
      </w:r>
      <w:r>
        <w:rPr>
          <w:rFonts w:hint="eastAsia" w:ascii="Times New Roman" w:hAnsi="Times New Roman" w:eastAsia="宋体" w:cs="Times New Roman"/>
          <w:sz w:val="24"/>
          <w:szCs w:val="24"/>
        </w:rPr>
        <w:t>24小时</w:t>
      </w:r>
      <w:r>
        <w:rPr>
          <w:rFonts w:ascii="Times New Roman" w:hAnsi="Times New Roman" w:eastAsia="宋体" w:cs="Times New Roman"/>
          <w:sz w:val="24"/>
          <w:szCs w:val="24"/>
        </w:rPr>
        <w:t>值守。</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4</w:t>
      </w:r>
      <w:r>
        <w:rPr>
          <w:rFonts w:ascii="Times New Roman" w:hAnsi="Times New Roman" w:eastAsia="宋体" w:cs="Times New Roman"/>
          <w:sz w:val="24"/>
          <w:szCs w:val="24"/>
        </w:rPr>
        <w:t>、供应商需根据需求优化软件并承担相关费用；如因软件系统滞后导致的各类问题，需承担由此带来的损失。</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5</w:t>
      </w:r>
      <w:r>
        <w:rPr>
          <w:rFonts w:ascii="Times New Roman" w:hAnsi="Times New Roman" w:eastAsia="宋体" w:cs="Times New Roman"/>
          <w:sz w:val="24"/>
          <w:szCs w:val="24"/>
        </w:rPr>
        <w:t>、供应商应建立满意度调查机制，向停车场产权单位、运营管理单位、驻区单位、过往市民旅客等单位或个人进行调查。</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6</w:t>
      </w:r>
      <w:r>
        <w:rPr>
          <w:rFonts w:ascii="Times New Roman" w:hAnsi="Times New Roman" w:eastAsia="宋体" w:cs="Times New Roman"/>
          <w:sz w:val="24"/>
          <w:szCs w:val="24"/>
        </w:rPr>
        <w:t>、供应商应利用自有及合作渠道向用户宣传和推广本项目业务并承担相应宣传费用，促进西站地区停车场往来市民旅客使用，提高项目运行效率。</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w:t>
      </w:r>
      <w:r>
        <w:rPr>
          <w:rFonts w:hint="eastAsia" w:ascii="Times New Roman" w:hAnsi="Times New Roman" w:eastAsia="宋体" w:cs="Times New Roman"/>
          <w:sz w:val="24"/>
          <w:szCs w:val="24"/>
        </w:rPr>
        <w:t>7</w:t>
      </w:r>
      <w:r>
        <w:rPr>
          <w:rFonts w:ascii="Times New Roman" w:hAnsi="Times New Roman" w:eastAsia="宋体" w:cs="Times New Roman"/>
          <w:sz w:val="24"/>
          <w:szCs w:val="24"/>
        </w:rPr>
        <w:t>、供应商应完成采购人临时安排的其它工作。</w:t>
      </w:r>
    </w:p>
    <w:p>
      <w:pPr>
        <w:spacing w:line="56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（二）经费要求</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1、比选响应总价是为提供所有服务的总费用，是完成项目全部工作内容所需的全部费用，包括但不限于直接费用、人力成本、管理费用、安全生产费用、利润总额和税费等。</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2、供应商的经费使用情况需接受采购人的监督和管理。</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3、采购人将针对供应商的工作完成情况进行评价考核。如不满足要求，采购人将向供应商追究损失补偿。</w:t>
      </w:r>
    </w:p>
    <w:p>
      <w:pPr>
        <w:spacing w:line="560" w:lineRule="exact"/>
        <w:ind w:firstLine="482" w:firstLineChars="200"/>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（三）其他要求</w:t>
      </w:r>
    </w:p>
    <w:p>
      <w:pPr>
        <w:spacing w:line="56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参加比选活动的所有供应商需严格执行相关法律、法规和规定，认真履职，遵守职业道德，严格遵守保密纪律，不得以任何形式分包、转包本项目。</w:t>
      </w:r>
    </w:p>
    <w:p>
      <w:pPr>
        <w:numPr>
          <w:ilvl w:val="0"/>
          <w:numId w:val="4"/>
        </w:numPr>
        <w:spacing w:line="56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验收标准</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采购人将</w:t>
      </w:r>
      <w:r>
        <w:rPr>
          <w:rFonts w:hint="eastAsia" w:ascii="Times New Roman" w:hAnsi="Times New Roman" w:eastAsia="宋体" w:cs="Times New Roman"/>
          <w:sz w:val="24"/>
          <w:szCs w:val="24"/>
        </w:rPr>
        <w:t>根据上述项目要求及内部管理规定，对供应商</w:t>
      </w:r>
      <w:r>
        <w:rPr>
          <w:rFonts w:ascii="Times New Roman" w:hAnsi="Times New Roman" w:eastAsia="宋体" w:cs="Times New Roman"/>
          <w:sz w:val="24"/>
          <w:szCs w:val="24"/>
        </w:rPr>
        <w:t>进行评价考核。</w:t>
      </w:r>
    </w:p>
    <w:p>
      <w:pPr>
        <w:numPr>
          <w:ilvl w:val="0"/>
          <w:numId w:val="4"/>
        </w:numPr>
        <w:spacing w:line="56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费用支付方式</w:t>
      </w:r>
    </w:p>
    <w:p>
      <w:pPr>
        <w:spacing w:line="560" w:lineRule="exact"/>
        <w:ind w:firstLine="480" w:firstLineChars="200"/>
        <w:rPr>
          <w:rFonts w:ascii="Times New Roman" w:hAnsi="Times New Roman" w:eastAsia="宋体" w:cs="Times New Roman"/>
          <w:b/>
          <w:bCs/>
          <w:sz w:val="24"/>
          <w:szCs w:val="24"/>
        </w:rPr>
      </w:pPr>
      <w:r>
        <w:rPr>
          <w:rFonts w:ascii="Times New Roman" w:hAnsi="Times New Roman" w:eastAsia="宋体" w:cs="Times New Roman"/>
          <w:sz w:val="24"/>
          <w:szCs w:val="24"/>
        </w:rPr>
        <w:t>经采购人审核，供应商提供的服务符合采购人要求的，按照合同约定和采购人财务要求支付。</w:t>
      </w:r>
    </w:p>
    <w:p>
      <w:pPr>
        <w:numPr>
          <w:ilvl w:val="0"/>
          <w:numId w:val="4"/>
        </w:numPr>
        <w:spacing w:line="560" w:lineRule="exact"/>
        <w:ind w:firstLine="482" w:firstLineChars="200"/>
        <w:rPr>
          <w:rFonts w:ascii="Times New Roman" w:hAnsi="Times New Roman" w:eastAsia="宋体" w:cs="Times New Roman"/>
          <w:b/>
          <w:bCs/>
          <w:sz w:val="24"/>
          <w:szCs w:val="24"/>
        </w:rPr>
      </w:pPr>
      <w:r>
        <w:rPr>
          <w:rFonts w:ascii="Times New Roman" w:hAnsi="Times New Roman" w:eastAsia="宋体" w:cs="Times New Roman"/>
          <w:b/>
          <w:bCs/>
          <w:sz w:val="24"/>
          <w:szCs w:val="24"/>
        </w:rPr>
        <w:t>采购标的所属行业</w:t>
      </w:r>
    </w:p>
    <w:p>
      <w:pPr>
        <w:spacing w:line="56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本项目采购标的属于《工业和信息化部、国家统计局、国家发展和改革委员会、财政部关于印发中小企业划型标准规定的通知》（工信部联企业[2011]300号）中的（十二）软件和信息技术服务业。</w:t>
      </w:r>
    </w:p>
    <w:p>
      <w:pPr>
        <w:spacing w:line="560" w:lineRule="exact"/>
        <w:ind w:firstLine="482" w:firstLineChars="200"/>
        <w:rPr>
          <w:rFonts w:ascii="Times New Roman" w:hAnsi="Times New Roman" w:eastAsia="宋体" w:cs="Times New Roman"/>
          <w:sz w:val="24"/>
          <w:szCs w:val="24"/>
        </w:rPr>
      </w:pPr>
      <w:r>
        <w:rPr>
          <w:rFonts w:ascii="Times New Roman" w:hAnsi="Times New Roman" w:eastAsia="宋体" w:cs="Times New Roman"/>
          <w:b/>
          <w:bCs/>
          <w:sz w:val="24"/>
          <w:szCs w:val="24"/>
        </w:rPr>
        <w:t>注：本项目非专门面向中小企业采购</w:t>
      </w:r>
    </w:p>
    <w:p>
      <w:pPr>
        <w:pStyle w:val="2"/>
        <w:rPr>
          <w:sz w:val="24"/>
          <w:szCs w:val="24"/>
        </w:rPr>
      </w:pPr>
    </w:p>
    <w:p>
      <w:pPr>
        <w:pStyle w:val="2"/>
        <w:rPr>
          <w:sz w:val="24"/>
          <w:szCs w:val="24"/>
        </w:rPr>
      </w:pPr>
    </w:p>
    <w:p>
      <w:pPr>
        <w:spacing w:line="360" w:lineRule="auto"/>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br w:type="textWrapping"/>
      </w:r>
    </w:p>
    <w:p>
      <w:pPr>
        <w:rPr>
          <w:rFonts w:ascii="Times New Roman" w:hAnsi="Times New Roman" w:eastAsia="宋体" w:cs="Times New Roman"/>
        </w:rPr>
      </w:pPr>
    </w:p>
    <w:p>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555046"/>
    </w:sdtPr>
    <w:sdtContent>
      <w:p>
        <w:pPr>
          <w:pStyle w:val="7"/>
          <w:jc w:val="center"/>
        </w:pPr>
        <w:r>
          <w:fldChar w:fldCharType="begin"/>
        </w:r>
        <w:r>
          <w:instrText xml:space="preserve">PAGE   \* MERGEFORMAT</w:instrText>
        </w:r>
        <w:r>
          <w:fldChar w:fldCharType="separate"/>
        </w:r>
        <w:r>
          <w:rPr>
            <w:lang w:val="zh-CN"/>
          </w:rPr>
          <w:t>5</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9BFD1D"/>
    <w:multiLevelType w:val="singleLevel"/>
    <w:tmpl w:val="E59BFD1D"/>
    <w:lvl w:ilvl="0" w:tentative="0">
      <w:start w:val="1"/>
      <w:numFmt w:val="chineseCounting"/>
      <w:suff w:val="nothing"/>
      <w:lvlText w:val="%1、"/>
      <w:lvlJc w:val="left"/>
      <w:rPr>
        <w:rFonts w:hint="eastAsia"/>
        <w:b/>
        <w:bCs/>
      </w:rPr>
    </w:lvl>
  </w:abstractNum>
  <w:abstractNum w:abstractNumId="1">
    <w:nsid w:val="0B41E37C"/>
    <w:multiLevelType w:val="singleLevel"/>
    <w:tmpl w:val="0B41E37C"/>
    <w:lvl w:ilvl="0" w:tentative="0">
      <w:start w:val="1"/>
      <w:numFmt w:val="chineseCounting"/>
      <w:pStyle w:val="4"/>
      <w:suff w:val="nothing"/>
      <w:lvlText w:val="%1、"/>
      <w:lvlJc w:val="left"/>
      <w:pPr>
        <w:ind w:left="-420" w:firstLine="420"/>
      </w:pPr>
      <w:rPr>
        <w:rFonts w:hint="eastAsia"/>
      </w:rPr>
    </w:lvl>
  </w:abstractNum>
  <w:abstractNum w:abstractNumId="2">
    <w:nsid w:val="6F8293D1"/>
    <w:multiLevelType w:val="singleLevel"/>
    <w:tmpl w:val="6F8293D1"/>
    <w:lvl w:ilvl="0" w:tentative="0">
      <w:start w:val="1"/>
      <w:numFmt w:val="chineseCounting"/>
      <w:pStyle w:val="11"/>
      <w:suff w:val="nothing"/>
      <w:lvlText w:val="（%1）"/>
      <w:lvlJc w:val="left"/>
      <w:pPr>
        <w:ind w:left="0" w:firstLine="420"/>
      </w:pPr>
      <w:rPr>
        <w:rFonts w:hint="eastAsia"/>
      </w:rPr>
    </w:lvl>
  </w:abstractNum>
  <w:abstractNum w:abstractNumId="3">
    <w:nsid w:val="7741A30F"/>
    <w:multiLevelType w:val="singleLevel"/>
    <w:tmpl w:val="7741A30F"/>
    <w:lvl w:ilvl="0" w:tentative="0">
      <w:start w:val="1"/>
      <w:numFmt w:val="chineseCounting"/>
      <w:pStyle w:val="5"/>
      <w:suff w:val="nothing"/>
      <w:lvlText w:val="（%1）"/>
      <w:lvlJc w:val="left"/>
      <w:pPr>
        <w:ind w:left="0" w:firstLine="42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jNhYmEzY2U3YjA0MmMwZmM0NzM3ZjdlNTFlYWEifQ=="/>
  </w:docVars>
  <w:rsids>
    <w:rsidRoot w:val="55306CDA"/>
    <w:rsid w:val="060A6EED"/>
    <w:rsid w:val="14D42812"/>
    <w:rsid w:val="1A9E64E4"/>
    <w:rsid w:val="1FB3729E"/>
    <w:rsid w:val="233B09AC"/>
    <w:rsid w:val="2B5E751F"/>
    <w:rsid w:val="3AA311C8"/>
    <w:rsid w:val="4F543C70"/>
    <w:rsid w:val="55306CDA"/>
    <w:rsid w:val="5FF2470C"/>
    <w:rsid w:val="66F06853"/>
    <w:rsid w:val="69F63BFF"/>
    <w:rsid w:val="6CE85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2"/>
    <w:qFormat/>
    <w:uiPriority w:val="0"/>
    <w:pPr>
      <w:keepNext/>
      <w:keepLines/>
      <w:numPr>
        <w:ilvl w:val="0"/>
        <w:numId w:val="1"/>
      </w:numPr>
      <w:spacing w:before="340" w:beforeLines="0" w:beforeAutospacing="0" w:after="330" w:afterLines="0" w:afterAutospacing="0" w:line="576" w:lineRule="auto"/>
      <w:ind w:left="0"/>
      <w:outlineLvl w:val="0"/>
    </w:pPr>
    <w:rPr>
      <w:rFonts w:asciiTheme="minorAscii" w:hAnsiTheme="minorAscii"/>
      <w:b/>
      <w:kern w:val="44"/>
      <w:sz w:val="44"/>
    </w:rPr>
  </w:style>
  <w:style w:type="paragraph" w:styleId="5">
    <w:name w:val="heading 2"/>
    <w:basedOn w:val="1"/>
    <w:next w:val="1"/>
    <w:link w:val="10"/>
    <w:semiHidden/>
    <w:unhideWhenUsed/>
    <w:qFormat/>
    <w:uiPriority w:val="0"/>
    <w:pPr>
      <w:keepNext/>
      <w:keepLines/>
      <w:numPr>
        <w:ilvl w:val="0"/>
        <w:numId w:val="2"/>
      </w:numPr>
      <w:spacing w:before="260" w:after="260" w:line="416" w:lineRule="auto"/>
      <w:ind w:leftChars="200"/>
      <w:outlineLvl w:val="1"/>
    </w:pPr>
    <w:rPr>
      <w:rFonts w:eastAsia="楷体" w:asciiTheme="majorAscii" w:hAnsiTheme="majorAscii" w:cstheme="majorBidi"/>
      <w:b/>
      <w:bCs/>
      <w:sz w:val="32"/>
      <w:szCs w:val="32"/>
    </w:rPr>
  </w:style>
  <w:style w:type="paragraph" w:styleId="6">
    <w:name w:val="heading 3"/>
    <w:basedOn w:val="1"/>
    <w:next w:val="1"/>
    <w:link w:val="13"/>
    <w:semiHidden/>
    <w:unhideWhenUsed/>
    <w:qFormat/>
    <w:uiPriority w:val="0"/>
    <w:pPr>
      <w:keepNext/>
      <w:keepLines/>
      <w:autoSpaceDE w:val="0"/>
      <w:autoSpaceDN w:val="0"/>
      <w:adjustRightInd w:val="0"/>
      <w:spacing w:before="360" w:after="120"/>
      <w:jc w:val="left"/>
      <w:outlineLvl w:val="2"/>
    </w:pPr>
    <w:rPr>
      <w:rFonts w:ascii="宋体" w:hAnsi="宋体" w:eastAsia="宋体" w:cs="Times New Roman"/>
      <w:b/>
      <w:kern w:val="0"/>
      <w:sz w:val="24"/>
      <w:szCs w:val="20"/>
      <w:u w:val="none"/>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widowControl/>
      <w:spacing w:line="360" w:lineRule="auto"/>
    </w:pPr>
    <w:rPr>
      <w:rFonts w:ascii="Times New Roman" w:hAnsi="Times New Roman" w:eastAsia="宋体" w:cs="Times New Roman"/>
      <w:kern w:val="0"/>
      <w:sz w:val="20"/>
      <w:szCs w:val="20"/>
    </w:rPr>
  </w:style>
  <w:style w:type="paragraph" w:customStyle="1" w:styleId="3">
    <w:name w:val="A正文小四"/>
    <w:basedOn w:val="1"/>
    <w:qFormat/>
    <w:uiPriority w:val="0"/>
    <w:pPr>
      <w:spacing w:before="96" w:after="96"/>
      <w:ind w:firstLine="200" w:firstLineChars="200"/>
    </w:pPr>
    <w:rPr>
      <w:rFonts w:cs="黑体"/>
      <w:sz w:val="24"/>
      <w:szCs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character" w:customStyle="1" w:styleId="10">
    <w:name w:val="标题 2 字符"/>
    <w:basedOn w:val="9"/>
    <w:link w:val="5"/>
    <w:qFormat/>
    <w:uiPriority w:val="9"/>
    <w:rPr>
      <w:rFonts w:eastAsia="楷体" w:asciiTheme="majorAscii" w:hAnsiTheme="majorAscii" w:cstheme="majorBidi"/>
      <w:b/>
      <w:bCs/>
      <w:sz w:val="32"/>
      <w:szCs w:val="32"/>
    </w:rPr>
  </w:style>
  <w:style w:type="paragraph" w:customStyle="1" w:styleId="11">
    <w:name w:val="二级标题"/>
    <w:basedOn w:val="1"/>
    <w:next w:val="1"/>
    <w:uiPriority w:val="0"/>
    <w:pPr>
      <w:keepNext/>
      <w:keepLines/>
      <w:widowControl/>
      <w:numPr>
        <w:ilvl w:val="0"/>
        <w:numId w:val="3"/>
      </w:numPr>
      <w:spacing w:before="260" w:after="260" w:line="360" w:lineRule="auto"/>
      <w:ind w:firstLine="420"/>
      <w:outlineLvl w:val="1"/>
    </w:pPr>
    <w:rPr>
      <w:rFonts w:hint="eastAsia" w:ascii="Calibri Light" w:hAnsi="Calibri Light" w:eastAsia="楷体" w:cs="仿宋_GB2312"/>
      <w:b/>
      <w:bCs/>
      <w:sz w:val="32"/>
      <w:szCs w:val="32"/>
    </w:rPr>
  </w:style>
  <w:style w:type="character" w:customStyle="1" w:styleId="12">
    <w:name w:val="标题 1 Char"/>
    <w:link w:val="4"/>
    <w:uiPriority w:val="0"/>
    <w:rPr>
      <w:rFonts w:asciiTheme="minorAscii" w:hAnsiTheme="minorAscii" w:eastAsiaTheme="minorEastAsia"/>
      <w:b/>
      <w:kern w:val="44"/>
      <w:sz w:val="44"/>
    </w:rPr>
  </w:style>
  <w:style w:type="character" w:customStyle="1" w:styleId="13">
    <w:name w:val="标题 3 字符"/>
    <w:link w:val="6"/>
    <w:qFormat/>
    <w:uiPriority w:val="0"/>
    <w:rPr>
      <w:rFonts w:ascii="宋体" w:hAnsi="宋体" w:eastAsia="宋体" w:cs="Times New Roman"/>
      <w:b/>
      <w:sz w:val="24"/>
      <w:u w:val="none"/>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2023-02-06T07:12:00Z</dcterms:created>
  <dc:creator>洪硕</dc:creator>
  <cp:lastModifiedBy>洪硕</cp:lastModifiedBy>
  <dcterms:modified xsi:type="dcterms:W3CDTF">2023-02-06T07:12:24Z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442E19B97D27408BB6B7E665BCC968BB</vt:lpwstr>
  </property>
</Properties>
</file>