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北京西站莲花池东路辅路更换伸缩缝工程</w:t>
      </w:r>
    </w:p>
    <w:p>
      <w:pPr>
        <w:snapToGrid w:val="0"/>
        <w:spacing w:line="360" w:lineRule="auto"/>
        <w:jc w:val="center"/>
        <w:rPr>
          <w:b/>
          <w:bCs/>
          <w:sz w:val="32"/>
          <w:szCs w:val="32"/>
        </w:rPr>
      </w:pPr>
      <w:r>
        <w:rPr>
          <w:b/>
          <w:bCs/>
          <w:sz w:val="32"/>
          <w:szCs w:val="32"/>
        </w:rPr>
        <w:t>采购需求</w:t>
      </w:r>
    </w:p>
    <w:p>
      <w:pPr>
        <w:pStyle w:val="6"/>
        <w:numPr>
          <w:ilvl w:val="0"/>
          <w:numId w:val="1"/>
        </w:numPr>
        <w:snapToGrid w:val="0"/>
        <w:spacing w:line="360" w:lineRule="auto"/>
        <w:ind w:firstLineChars="0"/>
        <w:rPr>
          <w:sz w:val="24"/>
        </w:rPr>
      </w:pPr>
      <w:r>
        <w:rPr>
          <w:b/>
          <w:bCs/>
          <w:sz w:val="24"/>
        </w:rPr>
        <w:t>资质需求:</w:t>
      </w:r>
    </w:p>
    <w:p>
      <w:pPr>
        <w:pStyle w:val="6"/>
        <w:snapToGrid w:val="0"/>
        <w:spacing w:line="360" w:lineRule="auto"/>
        <w:ind w:left="504" w:firstLine="0" w:firstLineChars="0"/>
        <w:rPr>
          <w:sz w:val="24"/>
        </w:rPr>
      </w:pPr>
      <w:r>
        <w:rPr>
          <w:sz w:val="24"/>
        </w:rPr>
        <w:t>1）桥梁工程</w:t>
      </w:r>
      <w:bookmarkStart w:id="6" w:name="_GoBack"/>
      <w:bookmarkEnd w:id="6"/>
      <w:r>
        <w:rPr>
          <w:sz w:val="24"/>
        </w:rPr>
        <w:t>专业承包三级（含）以上资质资质；</w:t>
      </w:r>
    </w:p>
    <w:p>
      <w:pPr>
        <w:pStyle w:val="6"/>
        <w:snapToGrid w:val="0"/>
        <w:spacing w:line="360" w:lineRule="auto"/>
        <w:ind w:left="504" w:firstLine="0" w:firstLineChars="0"/>
        <w:rPr>
          <w:sz w:val="24"/>
        </w:rPr>
      </w:pPr>
      <w:r>
        <w:rPr>
          <w:sz w:val="24"/>
        </w:rPr>
        <w:t>2）项目经理：取得市政公用工程二级（含）以上建造师注册证书及“安全生产考核合格证书”；</w:t>
      </w:r>
    </w:p>
    <w:p>
      <w:pPr>
        <w:pStyle w:val="6"/>
        <w:snapToGrid w:val="0"/>
        <w:spacing w:line="360" w:lineRule="auto"/>
        <w:ind w:left="504" w:firstLine="0" w:firstLineChars="0"/>
        <w:rPr>
          <w:sz w:val="24"/>
        </w:rPr>
      </w:pPr>
      <w:r>
        <w:rPr>
          <w:sz w:val="24"/>
        </w:rPr>
        <w:t>3）安全生产许可证（在有效期内）；</w:t>
      </w:r>
    </w:p>
    <w:p>
      <w:pPr>
        <w:pStyle w:val="6"/>
        <w:snapToGrid w:val="0"/>
        <w:spacing w:line="360" w:lineRule="auto"/>
        <w:ind w:left="504" w:firstLine="0" w:firstLineChars="0"/>
        <w:rPr>
          <w:sz w:val="24"/>
        </w:rPr>
      </w:pPr>
      <w:r>
        <w:rPr>
          <w:sz w:val="24"/>
        </w:rPr>
        <w:t>4）有效的外省市建筑企业来京施工备案证明文件（仅外省市来京施工的建筑企业需要）</w:t>
      </w:r>
    </w:p>
    <w:p>
      <w:pPr>
        <w:rPr>
          <w:b/>
          <w:bCs/>
          <w:sz w:val="24"/>
        </w:rPr>
      </w:pPr>
      <w:r>
        <w:rPr>
          <w:b/>
          <w:bCs/>
          <w:sz w:val="24"/>
        </w:rPr>
        <w:t>二、技术标准和要求</w:t>
      </w: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（一）工程说明</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（一）工程说明</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1.1工程概括</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1.1.1本工程基本情况：北京西站莲花池东路辅路更换伸缩缝工程，拟对北京西站莲花池东路辅路西客站北广场桥的中央位置三条弹塑体伸缩缝进行维修改造，包括施工图纸及工程量清单的全部内容。财政性资金。</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1.1.2. 本工程施工场地（现场）具体地理位置：北京西站莲花池东路辅路</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1.2现场条件和周围环境：本工程施工场地已经具备施工条件。</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1.3招标控制价：280326.08元。</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其中：分部分项工程合价为：179037.14元；</w:t>
      </w:r>
    </w:p>
    <w:p>
      <w:pPr>
        <w:pStyle w:val="2"/>
        <w:snapToGrid w:val="0"/>
        <w:spacing w:line="360" w:lineRule="auto"/>
        <w:ind w:firstLine="1200" w:firstLineChars="500"/>
        <w:rPr>
          <w:rFonts w:ascii="Times New Roman" w:hAnsi="Times New Roman" w:eastAsia="宋体" w:cs="Times New Roman"/>
        </w:rPr>
      </w:pPr>
      <w:r>
        <w:rPr>
          <w:rFonts w:hint="eastAsia" w:ascii="Times New Roman" w:hAnsi="Times New Roman" w:eastAsia="宋体" w:cs="Times New Roman"/>
        </w:rPr>
        <w:t>措施项目合价为：78142.75元；</w:t>
      </w:r>
    </w:p>
    <w:p>
      <w:pPr>
        <w:pStyle w:val="2"/>
        <w:snapToGrid w:val="0"/>
        <w:spacing w:line="360" w:lineRule="auto"/>
        <w:ind w:firstLine="1200" w:firstLineChars="500"/>
        <w:rPr>
          <w:rFonts w:ascii="Times New Roman" w:hAnsi="Times New Roman" w:eastAsia="宋体" w:cs="Times New Roman"/>
        </w:rPr>
      </w:pPr>
      <w:r>
        <w:rPr>
          <w:rFonts w:hint="eastAsia" w:ascii="Times New Roman" w:hAnsi="Times New Roman" w:eastAsia="宋体" w:cs="Times New Roman"/>
        </w:rPr>
        <w:t>其他项目合价为：0元；</w:t>
      </w:r>
    </w:p>
    <w:p>
      <w:pPr>
        <w:pStyle w:val="2"/>
        <w:snapToGrid w:val="0"/>
        <w:spacing w:line="360" w:lineRule="auto"/>
        <w:ind w:firstLine="1200" w:firstLineChars="500"/>
        <w:rPr>
          <w:rFonts w:ascii="Times New Roman" w:hAnsi="Times New Roman" w:eastAsia="宋体" w:cs="Times New Roman"/>
        </w:rPr>
      </w:pPr>
      <w:r>
        <w:rPr>
          <w:rFonts w:hint="eastAsia" w:ascii="Times New Roman" w:hAnsi="Times New Roman" w:eastAsia="宋体" w:cs="Times New Roman"/>
        </w:rPr>
        <w:t>税金的合价为：23146.19元。</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其他说明：安全文明施工费（含税）合计金额：34269.13元。</w:t>
      </w:r>
    </w:p>
    <w:p>
      <w:pPr>
        <w:pStyle w:val="2"/>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（二）主要工程内容</w:t>
      </w:r>
    </w:p>
    <w:p>
      <w:pPr>
        <w:pStyle w:val="2"/>
        <w:snapToGrid w:val="0"/>
        <w:spacing w:before="0"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北京西站莲花池东路辅路更换伸缩缝工程，拟对北京西站莲花池东路辅路西客站北广场桥的中央位置三条弹塑体伸缩缝进行维修改造，包括拆除原始伸缩缝、临时恢复伸缩缝保护带混凝土（钢纤维混凝土）、拆除临时恢复混凝保护带、安装桥梁伸缩缝、交通维护、沥青混凝土恢复等施工图纸及工程量清单的全部内容。</w:t>
      </w:r>
    </w:p>
    <w:p>
      <w:r>
        <w:rPr>
          <w:rFonts w:ascii="仿宋_GB2312" w:eastAsia="仿宋_GB2312" w:cs="仿宋_GB2312"/>
          <w:sz w:val="28"/>
          <w:szCs w:val="28"/>
        </w:rPr>
        <w:drawing>
          <wp:inline distT="0" distB="0" distL="0" distR="0">
            <wp:extent cx="5273040" cy="3276600"/>
            <wp:effectExtent l="0" t="0" r="381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3040" cy="3276600"/>
                    </a:xfrm>
                    <a:prstGeom prst="rect">
                      <a:avLst/>
                    </a:prstGeom>
                    <a:noFill/>
                    <a:ln>
                      <a:noFill/>
                    </a:ln>
                  </pic:spPr>
                </pic:pic>
              </a:graphicData>
            </a:graphic>
          </wp:inline>
        </w:drawing>
      </w:r>
    </w:p>
    <w:p>
      <w:pPr>
        <w:pStyle w:val="2"/>
      </w:pP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（三）工期要求及质量标准</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本项目计划工期：15日历天</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质量标准：合格</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施工现场安全生产标准化管理目标等级：达标；</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供应商在报价函中承诺的工期和计划开、竣工日期之间发生矛盾或者不一致时，以承包人承诺的工期为准，实际开工日期以监理人或承包人发出的开工通知中载明的开工日期为准。</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在报价函附录中承诺的工期提前于采购单位在本工程招标文件中所要求的工期，供应商在施工组织设计中应当制定相应的工期保证措施，由此而增加的费用应当被认为已经包含在响应总报价中。除合同约定外，合同履约过程中采购人不会因此再向成交人支付任何性质的技术措施费用、赶工费用或其他任何性质的提前完工奖励等费用。</w:t>
      </w: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（四）基本要求</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 xml:space="preserve">1、供应商按照工程量清单方式报价，并标明使用材料的名称、规格、型号、品牌、技术指标、数量、单价、总价。  </w:t>
      </w:r>
    </w:p>
    <w:p>
      <w:pPr>
        <w:pStyle w:val="2"/>
        <w:snapToGrid w:val="0"/>
        <w:spacing w:before="0" w:line="360" w:lineRule="auto"/>
        <w:ind w:firstLine="480" w:firstLineChars="200"/>
        <w:rPr>
          <w:rFonts w:ascii="Times New Roman" w:hAnsi="Times New Roman" w:eastAsia="宋体" w:cs="Times New Roman"/>
        </w:rPr>
      </w:pPr>
      <w:bookmarkStart w:id="0" w:name="_Toc487123285"/>
      <w:r>
        <w:rPr>
          <w:rFonts w:ascii="Times New Roman" w:hAnsi="Times New Roman" w:eastAsia="宋体" w:cs="Times New Roman"/>
        </w:rPr>
        <w:t>2、供应商必须按合同要求进行施工；材料进场须经采购人验收确认符合采购人要求后才能使用于本工程，并且不因材料设备的确认增加费用。所用材料必须与招标品牌、型号相同，并附有合格证、质检证。所有主要材料响应时必须标明品牌、型号。未标明品牌、型号的，采购人有权指定品牌型号，并且不增加费用。</w:t>
      </w:r>
      <w:bookmarkEnd w:id="0"/>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3、承包人选用材料必须符合国家强制标准及采购人对材料的品质要求。</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本工程发包人有权对主要建筑材料的生产商、供应商进行考察，考察内容包含但不限于建筑材料质量要求是否满足国家强制标准、设计及采购人对材料的品质要求，材料供应是否满足工期要求等。考察人员包含发包人、审计人员、监理人员、承包人，由此产生的相关费用包含在响应标价中。</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承包人采购的主要建筑材料为保证质量要求，应采用市场主流品牌材料。</w:t>
      </w:r>
    </w:p>
    <w:p>
      <w:pPr>
        <w:pStyle w:val="2"/>
        <w:snapToGrid w:val="0"/>
        <w:spacing w:before="0" w:line="360" w:lineRule="auto"/>
        <w:ind w:firstLine="480" w:firstLineChars="200"/>
        <w:rPr>
          <w:rFonts w:ascii="Times New Roman" w:hAnsi="Times New Roman" w:eastAsia="宋体" w:cs="Times New Roman"/>
        </w:rPr>
      </w:pPr>
      <w:bookmarkStart w:id="1" w:name="_Toc487123287"/>
      <w:r>
        <w:rPr>
          <w:rFonts w:ascii="Times New Roman" w:hAnsi="Times New Roman" w:eastAsia="宋体" w:cs="Times New Roman"/>
        </w:rPr>
        <w:t>4、本说明未明确写明，但施工中暗含的必须采取的措施，其费用均包含在响应报价中，采购人不予追加。供应商在响应之前勘查现场后，对原有状况存在的缺陷，应在报价中全面考虑，中标后将不予增加。现有设施施工中需要拆除后重新安装的，拆除和安装费用包含在响应报价中。</w:t>
      </w:r>
      <w:bookmarkEnd w:id="1"/>
    </w:p>
    <w:p>
      <w:pPr>
        <w:pStyle w:val="2"/>
        <w:snapToGrid w:val="0"/>
        <w:spacing w:before="0" w:line="360" w:lineRule="auto"/>
        <w:ind w:firstLine="480" w:firstLineChars="200"/>
        <w:rPr>
          <w:rFonts w:ascii="Times New Roman" w:hAnsi="Times New Roman" w:eastAsia="宋体" w:cs="Times New Roman"/>
        </w:rPr>
      </w:pPr>
      <w:bookmarkStart w:id="2" w:name="_Toc487123288"/>
      <w:r>
        <w:rPr>
          <w:rFonts w:ascii="Times New Roman" w:hAnsi="Times New Roman" w:eastAsia="宋体" w:cs="Times New Roman"/>
        </w:rPr>
        <w:t>5、维修改造产生的垃圾由供应商在不违背垃圾处理规定的情况下自行处理。垃圾清运费应包含在供应商响应报价中。</w:t>
      </w:r>
      <w:bookmarkEnd w:id="2"/>
    </w:p>
    <w:p>
      <w:pPr>
        <w:pStyle w:val="2"/>
        <w:snapToGrid w:val="0"/>
        <w:spacing w:before="0" w:line="360" w:lineRule="auto"/>
        <w:ind w:firstLine="480" w:firstLineChars="200"/>
        <w:rPr>
          <w:rFonts w:ascii="Times New Roman" w:hAnsi="Times New Roman" w:eastAsia="宋体" w:cs="Times New Roman"/>
        </w:rPr>
      </w:pPr>
      <w:bookmarkStart w:id="3" w:name="_Toc487123289"/>
      <w:r>
        <w:rPr>
          <w:rFonts w:ascii="Times New Roman" w:hAnsi="Times New Roman" w:eastAsia="宋体" w:cs="Times New Roman"/>
        </w:rPr>
        <w:t>6、不得将使用剩下的涂料、腻子等建筑装饰材料冲至洗漱间和卫生间的下水道内。</w:t>
      </w:r>
      <w:bookmarkEnd w:id="3"/>
    </w:p>
    <w:p>
      <w:pPr>
        <w:pStyle w:val="2"/>
        <w:snapToGrid w:val="0"/>
        <w:spacing w:before="0" w:line="360" w:lineRule="auto"/>
        <w:ind w:firstLine="480" w:firstLineChars="200"/>
        <w:rPr>
          <w:rFonts w:ascii="Times New Roman" w:hAnsi="Times New Roman" w:eastAsia="宋体" w:cs="Times New Roman"/>
        </w:rPr>
      </w:pPr>
      <w:bookmarkStart w:id="4" w:name="_Toc487123290"/>
      <w:r>
        <w:rPr>
          <w:rFonts w:ascii="Times New Roman" w:hAnsi="Times New Roman" w:eastAsia="宋体" w:cs="Times New Roman"/>
        </w:rPr>
        <w:t>7、所有施工必须注意确保安全第一、文明施工；所有安全隐患和事故均由施工方（承包人）负责。要做好成品和设施的保护，施工中损坏的物品、设施均由施工方负责修复或赔偿。所有施工人员必须遵守</w:t>
      </w:r>
      <w:r>
        <w:rPr>
          <w:rFonts w:ascii="Times New Roman" w:hAnsi="Times New Roman" w:eastAsia="宋体" w:cs="Times New Roman"/>
          <w:u w:val="single"/>
        </w:rPr>
        <w:t>【建设工程安全生产管理条例】</w:t>
      </w:r>
      <w:r>
        <w:rPr>
          <w:rFonts w:ascii="Times New Roman" w:hAnsi="Times New Roman" w:eastAsia="宋体" w:cs="Times New Roman"/>
        </w:rPr>
        <w:t>的管理规定，违者，按前述管理有关规定处置。</w:t>
      </w:r>
      <w:bookmarkEnd w:id="4"/>
    </w:p>
    <w:p>
      <w:pPr>
        <w:pStyle w:val="2"/>
        <w:snapToGrid w:val="0"/>
        <w:spacing w:before="0" w:line="360" w:lineRule="auto"/>
        <w:ind w:firstLine="480" w:firstLineChars="200"/>
        <w:rPr>
          <w:rFonts w:ascii="Times New Roman" w:hAnsi="Times New Roman" w:eastAsia="宋体" w:cs="Times New Roman"/>
        </w:rPr>
      </w:pPr>
      <w:bookmarkStart w:id="5" w:name="_Toc487123291"/>
      <w:r>
        <w:rPr>
          <w:rFonts w:ascii="Times New Roman" w:hAnsi="Times New Roman" w:eastAsia="宋体" w:cs="Times New Roman"/>
        </w:rPr>
        <w:t>8、施工完毕后现场卫生应达到直接使用的要求。</w:t>
      </w:r>
      <w:bookmarkEnd w:id="5"/>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9、缺陷责任期：24个月。</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10、由于洽商谈判采购过程中供应商再次或多次报价，出现响应文件所报价格（响应报价）与成交价格不一致现象，工程合同金额为洽商谈判后成交价格。</w:t>
      </w:r>
    </w:p>
    <w:p>
      <w:pPr>
        <w:pStyle w:val="3"/>
        <w:spacing w:line="360" w:lineRule="auto"/>
        <w:ind w:firstLine="482" w:firstLineChars="200"/>
        <w:rPr>
          <w:rFonts w:ascii="Times New Roman" w:hAnsi="Times New Roman"/>
          <w:b w:val="0"/>
        </w:rPr>
      </w:pPr>
      <w:r>
        <w:rPr>
          <w:rFonts w:ascii="Times New Roman" w:hAnsi="Times New Roman"/>
        </w:rPr>
        <w:t>11.</w:t>
      </w:r>
      <w:r>
        <w:rPr>
          <w:rFonts w:ascii="Times New Roman" w:hAnsi="Times New Roman"/>
          <w:b w:val="0"/>
        </w:rPr>
        <w:t>认真贯彻执行安全生产法律、法规、规章、条例，严格遵守安全生产规章制度、安全操作规程，熟练掌握事故防范措施和事故应急处理预案等。</w:t>
      </w:r>
    </w:p>
    <w:p>
      <w:pPr>
        <w:spacing w:line="360" w:lineRule="auto"/>
        <w:ind w:firstLine="480" w:firstLineChars="200"/>
        <w:rPr>
          <w:sz w:val="24"/>
        </w:rPr>
      </w:pPr>
      <w:r>
        <w:rPr>
          <w:sz w:val="24"/>
        </w:rPr>
        <w:t>12.承包人负责其承包项目范围内的安全生产管理工作，服从发包人对施工现场的安全生产管理，对发包人在安全检查过程中提出的问题和隐患，承包人必须按要求时限整改完毕。</w:t>
      </w:r>
    </w:p>
    <w:p>
      <w:pPr>
        <w:pStyle w:val="2"/>
        <w:snapToGrid w:val="0"/>
        <w:spacing w:before="0" w:line="360" w:lineRule="auto"/>
        <w:ind w:firstLine="480" w:firstLineChars="200"/>
        <w:rPr>
          <w:rFonts w:ascii="Times New Roman" w:hAnsi="Times New Roman" w:eastAsia="宋体" w:cs="Times New Roman"/>
        </w:rPr>
      </w:pP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（五）本项目使用的国家及行业规范标准（包括但不限于）</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1.工程测量规范(GBJ50026-93)</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2.建筑工程施工质量验收统一标准(GB50300-2013)</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3.建筑电气工程施工质量验收规范（GB50303-2015）</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4.建筑施工安全检查办法(JGJ59-2011)</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5.建筑机械使用安全技术规程(JGJ33-2012)</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6.施工现场临时用电安全技术规程(JGJ46-2005)</w:t>
      </w:r>
    </w:p>
    <w:p>
      <w:pPr>
        <w:pStyle w:val="2"/>
        <w:adjustRightInd w:val="0"/>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7.标准图集及现行施工规范。</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构成合同文件的任何内容与使用的规范、标准和规程之间出现的矛盾，承包人应书面要求监理人予以澄清，除监理人有特别指示外，承包人应按照其中要求最严格的标准执行。</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除合同另有约定外，材料、施工工艺和本工程都应依照本技术标准和要求以适用的现行规范、标准和规程的最新版本执行。若适用的现行规范、标准和规程的最新版本是在基准日后颁布的，且相应标准发生变更并成为合同文件中最严格的标准。</w:t>
      </w: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（六）安全文明施工</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1.安全防护</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1.1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1.2承包人应在施工场地（现场）入口处、施工起重机械、临时用电设施、脚手架出入口通道、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1.3所有机械和工器具应定期保养、校核和维护，以保证它们处于良好和安全的工作状态。保养、核准和维护工作应尽可能安排在非工作时间进行，并为上述机械和工器具准备足够的备用配件，以确保工程的施工能不间断地进行。</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1.4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1.5供应商应依据现行标准规范，结合工程特点、工程场地及周围环境、工期进度和作业环境要求，在施工组织设计文件中制定相应的安全防护、文明施工。</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2.文明施工</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2.1 承包人在工程施工期间，应当采取措施保持施工现场平整，物料堆放整齐。</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2.2 在本工程移交之前，承包人应当从本工程现场清除并运出承包人的全部工程设备、多余材料、垃圾和各种临时工程，并保持该部分现场清洁整齐。在发包人同意的前提下承包人可在发包人指定的现场地点保留为完成承包人在保修期内的各项义务所需要的材料、工程设备和临时工程。</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2.3 承包人应当保证本工程的施工始终严格按照不低于国家及北京市政府有关文明施工的各项标准和规定。</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3.环境保护</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3.1 承包人应当采取合理措施，防止或者减少粉尘、废气、废水、固体废物、噪声、振动和施工照明对人和环境的危害和污染。但本款的约定并不解除承包人依据合同文件约定应当承担的义务和责任。</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本工程现场施工组织须考虑减少对居民扰民的影响，工程周边环境对施工组织的不利影响，应由承包人充分预测，由此产生的相关费用及工期不做调整。承包单位应承担施工区域及周边环境的精细保洁工作，竣工验收前承建单位对所施工区域进行精开荒保洁。</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3.2 任何情况下，承包人应当保证在永久工程和临时工程中不使用政府明令禁止使用的对人体或环境有害的材料或物品。</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4. 费用使用</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4.1 发包人按照合同文件约定支付给承包人的安全文明施工费，是按照国</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家和北京市现行的建筑施工安全、施工现场环境与卫生标准和有关规定，购置和</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更新施工安全防护用具及设施、改善安全生产和作业环境所需要的费用。</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4.2 承包人应当确保安全文明施工费专款专用，在财务管理中单独列出安全文明施工费用清单备查。</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4.3 承包人对本工程安全文明施工费的使用负责。</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5. 事故处理</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5.1 承包人应当根据施工特点和范围，对重大事故易发部位和环节进行实时监控，制定安全事故应急救援预案，配备应急救援人员和救援器材，并定期组织演练。</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5.2 发生安全事故后，承包人应当按照国家有关伤亡事故报告和调查处理的规定，及时如实地报告监理人、发包人和建设行政主管部门及安全监督管理部门；特种设备发生事故的，还应当同时报告特种设备安全监督管理部门。</w:t>
      </w: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5.3 发生安全事故后，承包人应当积极采取措施，防止事故扩大，保护事故现场。需要移动现场物品时，应当做出标记和书面记录，妥善保管有关证物。供应商须服从采购人文明施工之日常管理，落实文明施工管理各项管理制度。</w:t>
      </w:r>
    </w:p>
    <w:p>
      <w:pPr>
        <w:pStyle w:val="2"/>
        <w:snapToGrid w:val="0"/>
        <w:spacing w:before="0"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6.防火要求</w:t>
      </w:r>
    </w:p>
    <w:p>
      <w:pPr>
        <w:spacing w:line="360" w:lineRule="auto"/>
        <w:ind w:firstLine="480" w:firstLineChars="200"/>
        <w:rPr>
          <w:sz w:val="24"/>
        </w:rPr>
      </w:pPr>
      <w:r>
        <w:rPr>
          <w:sz w:val="24"/>
        </w:rPr>
        <w:t>6.1承包人在施工期间应严格遵守《建筑安装工程安全技术规程》、《中华人民共和国消防条例》、采购人对施工的安全防火规定及其它国家现行有关建筑、消防等相关的法规、规范、标准及地方文件。</w:t>
      </w:r>
    </w:p>
    <w:p>
      <w:pPr>
        <w:spacing w:line="360" w:lineRule="auto"/>
        <w:ind w:firstLine="480" w:firstLineChars="200"/>
        <w:rPr>
          <w:sz w:val="24"/>
        </w:rPr>
      </w:pPr>
      <w:r>
        <w:rPr>
          <w:sz w:val="24"/>
        </w:rPr>
        <w:t>6.2施工期间发生的任何安全、火灾或其他责任事故，给采购人、第三方等造成损失的，由承包人独立解决纠纷并承担全部赔偿责任，采购人先行赔偿的，有权向承包人追偿。采购人有权从未向承包人支付的款项中优先扣除追偿的费用，不足部分，采购人需向承包人继续主张。其中，承包人应为工程施工人员购买相关保险，如承包人组织的工作人员在施工过程中出现任何的意外以及伤亡，由承包人自行负责并处理，采购人不承担责任，给采购人造成损失的承包人应予赔偿采购人的全部损失。</w:t>
      </w: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（七）竣工验收和工程移交</w:t>
      </w:r>
    </w:p>
    <w:p>
      <w:pPr>
        <w:spacing w:line="360" w:lineRule="auto"/>
        <w:ind w:firstLine="480" w:firstLineChars="200"/>
        <w:rPr>
          <w:sz w:val="24"/>
        </w:rPr>
      </w:pPr>
      <w:r>
        <w:rPr>
          <w:sz w:val="24"/>
        </w:rPr>
        <w:t>当工程具备覆盖、掩盖条件或达到中间验收部位以前，承包人应提前24小时通知采购人参加，双方确认验收合格后方可进行隐蔽和继续施工。如验收不合格，承包人在限定时间内修改后重新验收。</w:t>
      </w:r>
    </w:p>
    <w:p>
      <w:pPr>
        <w:spacing w:line="360" w:lineRule="auto"/>
        <w:ind w:firstLine="480" w:firstLineChars="200"/>
        <w:rPr>
          <w:sz w:val="24"/>
        </w:rPr>
      </w:pPr>
      <w:r>
        <w:rPr>
          <w:sz w:val="24"/>
        </w:rPr>
        <w:t>工程具备竣工验收条件，承包人向采购人提供完整竣工资料、图纸，采购人组织验收。</w:t>
      </w:r>
    </w:p>
    <w:p>
      <w:pPr>
        <w:pStyle w:val="2"/>
        <w:snapToGrid w:val="0"/>
        <w:spacing w:before="0" w:line="360" w:lineRule="auto"/>
        <w:rPr>
          <w:rFonts w:ascii="Times New Roman" w:hAnsi="Times New Roman" w:eastAsia="宋体" w:cs="Times New Roman"/>
          <w:b/>
          <w:bCs/>
        </w:rPr>
      </w:pPr>
      <w:r>
        <w:rPr>
          <w:rFonts w:ascii="Times New Roman" w:hAnsi="Times New Roman" w:eastAsia="宋体" w:cs="Times New Roman"/>
          <w:b/>
          <w:bCs/>
        </w:rPr>
        <w:t>（八）联络</w:t>
      </w:r>
    </w:p>
    <w:p>
      <w:pPr>
        <w:spacing w:line="360" w:lineRule="auto"/>
        <w:ind w:firstLine="480" w:firstLineChars="200"/>
        <w:rPr>
          <w:sz w:val="24"/>
        </w:rPr>
      </w:pPr>
      <w:r>
        <w:rPr>
          <w:sz w:val="24"/>
        </w:rPr>
        <w:t>与合同有关的通知、批准、证明、证书、指示、要求、请求、同意、意见、确定和决定等，均应采用书面形式。</w:t>
      </w:r>
    </w:p>
    <w:p>
      <w:pPr>
        <w:adjustRightInd w:val="0"/>
        <w:snapToGrid w:val="0"/>
        <w:spacing w:line="360" w:lineRule="auto"/>
        <w:ind w:firstLine="480" w:firstLineChars="200"/>
        <w:rPr>
          <w:sz w:val="24"/>
        </w:rPr>
      </w:pPr>
      <w:r>
        <w:rPr>
          <w:sz w:val="24"/>
        </w:rPr>
        <w:t>前项中的通知、批准、证明、证书、指示、要求、请求、同意、意见、确定和决定等来往函件，均应在合同约定的期限内送达指定地点和接收人，并办理签收手续。来往函件的送达期限在技术标准和要求，在2个工作日内，送达，送达地址双方另行约定。</w:t>
      </w:r>
    </w:p>
    <w:p>
      <w:pPr>
        <w:pStyle w:val="2"/>
        <w:snapToGrid w:val="0"/>
        <w:spacing w:before="0" w:line="360" w:lineRule="auto"/>
        <w:ind w:firstLine="480" w:firstLineChars="200"/>
        <w:rPr>
          <w:rFonts w:ascii="Times New Roman" w:hAnsi="Times New Roman" w:eastAsia="宋体" w:cs="Times New Roman"/>
        </w:rPr>
      </w:pPr>
    </w:p>
    <w:p>
      <w:pPr>
        <w:pStyle w:val="2"/>
        <w:snapToGrid w:val="0"/>
        <w:spacing w:before="0" w:line="360" w:lineRule="auto"/>
        <w:ind w:firstLine="480" w:firstLineChars="200"/>
        <w:rPr>
          <w:rFonts w:ascii="Times New Roman" w:hAnsi="Times New Roman" w:eastAsia="宋体" w:cs="Times New Roman"/>
        </w:rPr>
      </w:pPr>
      <w:r>
        <w:rPr>
          <w:rFonts w:ascii="Times New Roman" w:hAnsi="Times New Roman" w:eastAsia="宋体" w:cs="Times New Roman"/>
        </w:rPr>
        <w:t>注：施工现场不能用于人员住宿及就餐等生活用途，供应商应自行采取相关措施，由此产生费用包含在响应报价中。</w:t>
      </w:r>
    </w:p>
    <w:p>
      <w:pPr>
        <w:spacing w:line="360" w:lineRule="auto"/>
        <w:ind w:firstLine="482" w:firstLineChars="200"/>
        <w:rPr>
          <w:b/>
          <w:sz w:val="24"/>
        </w:rPr>
      </w:pPr>
      <w:r>
        <w:rPr>
          <w:b/>
          <w:sz w:val="24"/>
        </w:rPr>
        <w:t>（九）疫情防控需求：</w:t>
      </w:r>
    </w:p>
    <w:p>
      <w:pPr>
        <w:spacing w:line="360" w:lineRule="auto"/>
        <w:ind w:firstLine="480" w:firstLineChars="200"/>
        <w:rPr>
          <w:sz w:val="24"/>
        </w:rPr>
      </w:pPr>
      <w:r>
        <w:rPr>
          <w:sz w:val="24"/>
        </w:rPr>
        <w:t>1.严格落实北京市重点站区管委会下发的疫情防控相关文件、通知、要求，以及北京丰台站地区管理办公室疫情防控各项管理要求，严格落实甲方的疫情防控制度、相关物资储备等工作。</w:t>
      </w:r>
    </w:p>
    <w:p>
      <w:pPr>
        <w:spacing w:line="360" w:lineRule="auto"/>
        <w:ind w:firstLine="480" w:firstLineChars="200"/>
        <w:rPr>
          <w:sz w:val="24"/>
        </w:rPr>
      </w:pPr>
      <w:r>
        <w:rPr>
          <w:sz w:val="24"/>
        </w:rPr>
        <w:t>2.严格做好乙方相关人员的防疫检查与健康监测工作。</w:t>
      </w:r>
    </w:p>
    <w:p>
      <w:pPr>
        <w:spacing w:line="360" w:lineRule="auto"/>
        <w:ind w:firstLine="480" w:firstLineChars="200"/>
        <w:rPr>
          <w:sz w:val="24"/>
        </w:rPr>
      </w:pPr>
      <w:r>
        <w:rPr>
          <w:sz w:val="24"/>
        </w:rPr>
        <w:t>3.严格遵守北京市及行业主管部门疫情防控政策，按照要求落实防控责任，及时上报相关情况，并配合做好有关工作。</w:t>
      </w:r>
    </w:p>
    <w:p>
      <w:pPr>
        <w:spacing w:line="360" w:lineRule="auto"/>
        <w:ind w:firstLine="480" w:firstLineChars="200"/>
        <w:rPr>
          <w:sz w:val="24"/>
        </w:rPr>
      </w:pPr>
      <w:r>
        <w:rPr>
          <w:sz w:val="24"/>
        </w:rPr>
        <w:t>4.所有人员进场施工时，须符合北京市疫情防控要求，并提供或出示相关证明。</w:t>
      </w:r>
    </w:p>
    <w:p>
      <w:pPr>
        <w:spacing w:line="360" w:lineRule="auto"/>
        <w:ind w:firstLine="480" w:firstLineChars="200"/>
        <w:rPr>
          <w:sz w:val="24"/>
        </w:rPr>
      </w:pPr>
      <w:r>
        <w:rPr>
          <w:sz w:val="24"/>
        </w:rPr>
        <w:t>5.乙方违反以上责任导致出现新型冠状肺炎确诊病例，将依法依规承担相应法律责任。</w:t>
      </w:r>
    </w:p>
    <w:p>
      <w:pPr>
        <w:spacing w:line="360" w:lineRule="auto"/>
        <w:ind w:firstLine="482" w:firstLineChars="200"/>
        <w:outlineLvl w:val="0"/>
        <w:rPr>
          <w:b/>
          <w:sz w:val="24"/>
        </w:rPr>
      </w:pPr>
      <w:r>
        <w:rPr>
          <w:b/>
          <w:sz w:val="24"/>
        </w:rPr>
        <w:t>（十）服务承诺:</w:t>
      </w:r>
    </w:p>
    <w:p>
      <w:pPr>
        <w:spacing w:line="360" w:lineRule="auto"/>
        <w:ind w:firstLine="448" w:firstLineChars="200"/>
        <w:rPr>
          <w:sz w:val="24"/>
        </w:rPr>
      </w:pPr>
      <w:r>
        <w:rPr>
          <w:spacing w:val="-8"/>
          <w:sz w:val="24"/>
        </w:rPr>
        <w:t>1.作</w:t>
      </w:r>
      <w:r>
        <w:rPr>
          <w:spacing w:val="-6"/>
          <w:sz w:val="24"/>
        </w:rPr>
        <w:t>业</w:t>
      </w:r>
      <w:r>
        <w:rPr>
          <w:spacing w:val="-4"/>
          <w:sz w:val="24"/>
        </w:rPr>
        <w:t>单位必须严格按照甲乙双方签订的合同条款履行合约，严格遵守并执行</w:t>
      </w:r>
      <w:r>
        <w:rPr>
          <w:sz w:val="24"/>
        </w:rPr>
        <w:t>甲方关于本项目的规定。</w:t>
      </w:r>
      <w:r>
        <w:br w:type="page"/>
      </w:r>
    </w:p>
    <w:p>
      <w:pPr>
        <w:pStyle w:val="2"/>
        <w:rPr>
          <w:rFonts w:ascii="Times New Roman" w:hAnsi="Times New Roman" w:eastAsia="宋体" w:cs="Times New Roman"/>
        </w:rPr>
      </w:pPr>
      <w:r>
        <w:rPr>
          <w:rFonts w:ascii="Times New Roman" w:hAnsi="Times New Roman" w:eastAsia="宋体" w:cs="Times New Roman"/>
        </w:rPr>
        <w:t>三、工程量清单</w:t>
      </w:r>
    </w:p>
    <w:tbl>
      <w:tblPr>
        <w:tblStyle w:val="4"/>
        <w:tblW w:w="5191" w:type="pct"/>
        <w:tblInd w:w="0" w:type="dxa"/>
        <w:tblLayout w:type="autofit"/>
        <w:tblCellMar>
          <w:top w:w="0" w:type="dxa"/>
          <w:left w:w="108" w:type="dxa"/>
          <w:bottom w:w="0" w:type="dxa"/>
          <w:right w:w="108" w:type="dxa"/>
        </w:tblCellMar>
      </w:tblPr>
      <w:tblGrid>
        <w:gridCol w:w="423"/>
        <w:gridCol w:w="1329"/>
        <w:gridCol w:w="1154"/>
        <w:gridCol w:w="1603"/>
        <w:gridCol w:w="726"/>
        <w:gridCol w:w="872"/>
        <w:gridCol w:w="648"/>
        <w:gridCol w:w="83"/>
        <w:gridCol w:w="242"/>
        <w:gridCol w:w="193"/>
        <w:gridCol w:w="614"/>
        <w:gridCol w:w="637"/>
        <w:gridCol w:w="324"/>
      </w:tblGrid>
      <w:tr>
        <w:tblPrEx>
          <w:tblCellMar>
            <w:top w:w="0" w:type="dxa"/>
            <w:left w:w="108" w:type="dxa"/>
            <w:bottom w:w="0" w:type="dxa"/>
            <w:right w:w="108" w:type="dxa"/>
          </w:tblCellMar>
        </w:tblPrEx>
        <w:trPr>
          <w:gridAfter w:val="1"/>
          <w:wAfter w:w="183" w:type="pct"/>
          <w:trHeight w:val="555" w:hRule="atLeast"/>
        </w:trPr>
        <w:tc>
          <w:tcPr>
            <w:tcW w:w="4817" w:type="pct"/>
            <w:gridSpan w:val="12"/>
            <w:tcBorders>
              <w:top w:val="nil"/>
              <w:left w:val="nil"/>
              <w:bottom w:val="nil"/>
              <w:right w:val="nil"/>
            </w:tcBorders>
            <w:shd w:val="clear" w:color="FFFFFF" w:fill="FFFFFF"/>
            <w:vAlign w:val="center"/>
          </w:tcPr>
          <w:p>
            <w:pPr>
              <w:widowControl/>
              <w:jc w:val="center"/>
              <w:rPr>
                <w:kern w:val="0"/>
                <w:sz w:val="32"/>
                <w:szCs w:val="32"/>
              </w:rPr>
            </w:pPr>
            <w:r>
              <w:rPr>
                <w:kern w:val="0"/>
                <w:sz w:val="32"/>
                <w:szCs w:val="32"/>
              </w:rPr>
              <w:t>分部分项工程和单价措施项目清单与计价表</w:t>
            </w:r>
          </w:p>
        </w:tc>
      </w:tr>
      <w:tr>
        <w:tblPrEx>
          <w:tblCellMar>
            <w:top w:w="0" w:type="dxa"/>
            <w:left w:w="108" w:type="dxa"/>
            <w:bottom w:w="0" w:type="dxa"/>
            <w:right w:w="108" w:type="dxa"/>
          </w:tblCellMar>
        </w:tblPrEx>
        <w:trPr>
          <w:trHeight w:val="735" w:hRule="atLeast"/>
        </w:trPr>
        <w:tc>
          <w:tcPr>
            <w:tcW w:w="3864" w:type="pct"/>
            <w:gridSpan w:val="8"/>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工程名称：市政工程</w:t>
            </w:r>
          </w:p>
        </w:tc>
        <w:tc>
          <w:tcPr>
            <w:tcW w:w="137" w:type="pct"/>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　</w:t>
            </w:r>
          </w:p>
        </w:tc>
        <w:tc>
          <w:tcPr>
            <w:tcW w:w="999" w:type="pct"/>
            <w:gridSpan w:val="4"/>
            <w:tcBorders>
              <w:top w:val="nil"/>
              <w:left w:val="nil"/>
              <w:bottom w:val="nil"/>
              <w:right w:val="nil"/>
            </w:tcBorders>
            <w:shd w:val="clear" w:color="FFFFFF" w:fill="FFFFFF"/>
            <w:vAlign w:val="center"/>
          </w:tcPr>
          <w:p>
            <w:pPr>
              <w:widowControl/>
              <w:jc w:val="right"/>
              <w:rPr>
                <w:kern w:val="0"/>
                <w:sz w:val="18"/>
                <w:szCs w:val="18"/>
              </w:rPr>
            </w:pPr>
            <w:r>
              <w:rPr>
                <w:kern w:val="0"/>
                <w:sz w:val="18"/>
                <w:szCs w:val="18"/>
              </w:rPr>
              <w:t>第  1  页  共  3  页</w:t>
            </w:r>
          </w:p>
        </w:tc>
      </w:tr>
      <w:tr>
        <w:tblPrEx>
          <w:tblCellMar>
            <w:top w:w="0" w:type="dxa"/>
            <w:left w:w="108" w:type="dxa"/>
            <w:bottom w:w="0" w:type="dxa"/>
            <w:right w:w="108" w:type="dxa"/>
          </w:tblCellMar>
        </w:tblPrEx>
        <w:trPr>
          <w:gridAfter w:val="1"/>
          <w:wAfter w:w="183" w:type="pct"/>
          <w:trHeight w:val="360" w:hRule="atLeast"/>
        </w:trPr>
        <w:tc>
          <w:tcPr>
            <w:tcW w:w="23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序号</w:t>
            </w:r>
          </w:p>
        </w:tc>
        <w:tc>
          <w:tcPr>
            <w:tcW w:w="75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子目名称</w:t>
            </w:r>
          </w:p>
        </w:tc>
        <w:tc>
          <w:tcPr>
            <w:tcW w:w="90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计量单位</w:t>
            </w:r>
          </w:p>
        </w:tc>
        <w:tc>
          <w:tcPr>
            <w:tcW w:w="4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工程量</w:t>
            </w:r>
          </w:p>
        </w:tc>
        <w:tc>
          <w:tcPr>
            <w:tcW w:w="1366" w:type="pct"/>
            <w:gridSpan w:val="6"/>
            <w:tcBorders>
              <w:top w:val="single" w:color="000000" w:sz="8"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金额（元）</w:t>
            </w:r>
          </w:p>
        </w:tc>
      </w:tr>
      <w:tr>
        <w:tblPrEx>
          <w:tblCellMar>
            <w:top w:w="0" w:type="dxa"/>
            <w:left w:w="108" w:type="dxa"/>
            <w:bottom w:w="0" w:type="dxa"/>
            <w:right w:w="108" w:type="dxa"/>
          </w:tblCellMar>
        </w:tblPrEx>
        <w:trPr>
          <w:gridAfter w:val="1"/>
          <w:wAfter w:w="183" w:type="pct"/>
          <w:trHeight w:val="360" w:hRule="atLeast"/>
        </w:trPr>
        <w:tc>
          <w:tcPr>
            <w:tcW w:w="239"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65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6"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0"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3" w:type="pct"/>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综合单价</w:t>
            </w:r>
          </w:p>
        </w:tc>
        <w:tc>
          <w:tcPr>
            <w:tcW w:w="246"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合价</w:t>
            </w:r>
          </w:p>
        </w:tc>
        <w:tc>
          <w:tcPr>
            <w:tcW w:w="707" w:type="pct"/>
            <w:gridSpan w:val="2"/>
            <w:tcBorders>
              <w:top w:val="single" w:color="000000" w:sz="4"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其中</w:t>
            </w:r>
          </w:p>
        </w:tc>
      </w:tr>
      <w:tr>
        <w:tblPrEx>
          <w:tblCellMar>
            <w:top w:w="0" w:type="dxa"/>
            <w:left w:w="108" w:type="dxa"/>
            <w:bottom w:w="0" w:type="dxa"/>
            <w:right w:w="108" w:type="dxa"/>
          </w:tblCellMar>
        </w:tblPrEx>
        <w:trPr>
          <w:gridAfter w:val="1"/>
          <w:wAfter w:w="183" w:type="pct"/>
          <w:trHeight w:val="360" w:hRule="atLeast"/>
        </w:trPr>
        <w:tc>
          <w:tcPr>
            <w:tcW w:w="239"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65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6"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0"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3"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kern w:val="0"/>
                <w:sz w:val="18"/>
                <w:szCs w:val="18"/>
              </w:rPr>
            </w:pPr>
          </w:p>
        </w:tc>
        <w:tc>
          <w:tcPr>
            <w:tcW w:w="246"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47"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暂估价</w:t>
            </w:r>
          </w:p>
        </w:tc>
        <w:tc>
          <w:tcPr>
            <w:tcW w:w="360" w:type="pct"/>
            <w:tcBorders>
              <w:top w:val="nil"/>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规费</w:t>
            </w:r>
          </w:p>
        </w:tc>
      </w:tr>
      <w:tr>
        <w:tblPrEx>
          <w:tblCellMar>
            <w:top w:w="0" w:type="dxa"/>
            <w:left w:w="108" w:type="dxa"/>
            <w:bottom w:w="0" w:type="dxa"/>
            <w:right w:w="108" w:type="dxa"/>
          </w:tblCellMar>
        </w:tblPrEx>
        <w:trPr>
          <w:gridAfter w:val="1"/>
          <w:wAfter w:w="183" w:type="pct"/>
          <w:trHeight w:val="360" w:hRule="atLeast"/>
        </w:trPr>
        <w:tc>
          <w:tcPr>
            <w:tcW w:w="239" w:type="pct"/>
            <w:tcBorders>
              <w:top w:val="nil"/>
              <w:left w:val="single" w:color="000000" w:sz="8" w:space="0"/>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751"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65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整个项目</w:t>
            </w:r>
          </w:p>
        </w:tc>
        <w:tc>
          <w:tcPr>
            <w:tcW w:w="906"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0"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9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3" w:type="pct"/>
            <w:gridSpan w:val="2"/>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24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47"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60"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83" w:type="pct"/>
          <w:trHeight w:val="3660" w:hRule="atLeast"/>
        </w:trPr>
        <w:tc>
          <w:tcPr>
            <w:tcW w:w="239"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1</w:t>
            </w:r>
          </w:p>
        </w:tc>
        <w:tc>
          <w:tcPr>
            <w:tcW w:w="751"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04B001</w:t>
            </w:r>
          </w:p>
        </w:tc>
        <w:tc>
          <w:tcPr>
            <w:tcW w:w="65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拆除原始伸缩缝</w:t>
            </w:r>
          </w:p>
        </w:tc>
        <w:tc>
          <w:tcPr>
            <w:tcW w:w="906"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1.拆除方式:综合考虑</w:t>
            </w:r>
            <w:r>
              <w:rPr>
                <w:kern w:val="0"/>
                <w:sz w:val="18"/>
                <w:szCs w:val="18"/>
              </w:rPr>
              <w:br w:type="textWrapping"/>
            </w:r>
            <w:r>
              <w:rPr>
                <w:kern w:val="0"/>
                <w:sz w:val="18"/>
                <w:szCs w:val="18"/>
              </w:rPr>
              <w:t>2.规格、型号:桥梁弹塑体伸缩缝</w:t>
            </w:r>
            <w:r>
              <w:rPr>
                <w:kern w:val="0"/>
                <w:sz w:val="18"/>
                <w:szCs w:val="18"/>
              </w:rPr>
              <w:br w:type="textWrapping"/>
            </w:r>
            <w:r>
              <w:rPr>
                <w:kern w:val="0"/>
                <w:sz w:val="18"/>
                <w:szCs w:val="18"/>
              </w:rPr>
              <w:t>3.清理、场内、外运输</w:t>
            </w:r>
            <w:r>
              <w:rPr>
                <w:kern w:val="0"/>
                <w:sz w:val="18"/>
                <w:szCs w:val="18"/>
              </w:rPr>
              <w:br w:type="textWrapping"/>
            </w:r>
            <w:r>
              <w:rPr>
                <w:kern w:val="0"/>
                <w:sz w:val="18"/>
                <w:szCs w:val="18"/>
              </w:rPr>
              <w:t>4.综合考虑与本工艺及工序相关的费用及风险，满足图纸、图集、标准、规范、技术要求等相关法律法规的规定基础上，符合图纸、技术标准等相应要求，未尽事宜详见招标文件</w:t>
            </w:r>
          </w:p>
        </w:tc>
        <w:tc>
          <w:tcPr>
            <w:tcW w:w="410"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m</w:t>
            </w:r>
          </w:p>
        </w:tc>
        <w:tc>
          <w:tcPr>
            <w:tcW w:w="49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54.7</w:t>
            </w:r>
          </w:p>
        </w:tc>
        <w:tc>
          <w:tcPr>
            <w:tcW w:w="413" w:type="pct"/>
            <w:gridSpan w:val="2"/>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4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47"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60"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83" w:type="pct"/>
          <w:trHeight w:val="1833" w:hRule="atLeast"/>
        </w:trPr>
        <w:tc>
          <w:tcPr>
            <w:tcW w:w="239"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2</w:t>
            </w:r>
          </w:p>
        </w:tc>
        <w:tc>
          <w:tcPr>
            <w:tcW w:w="751"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040303024001</w:t>
            </w:r>
          </w:p>
        </w:tc>
        <w:tc>
          <w:tcPr>
            <w:tcW w:w="65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临时恢复伸缩缝保护带混凝土（钢纤维混凝土）</w:t>
            </w:r>
          </w:p>
        </w:tc>
        <w:tc>
          <w:tcPr>
            <w:tcW w:w="906"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1.混凝土强度等级:C50钢纤维灌浆料</w:t>
            </w:r>
            <w:r>
              <w:rPr>
                <w:kern w:val="0"/>
                <w:sz w:val="18"/>
                <w:szCs w:val="18"/>
              </w:rPr>
              <w:br w:type="textWrapping"/>
            </w:r>
            <w:r>
              <w:rPr>
                <w:kern w:val="0"/>
                <w:sz w:val="18"/>
                <w:szCs w:val="18"/>
              </w:rPr>
              <w:t>2.基面处理:凿除破损混凝土，涂刷界面剂</w:t>
            </w:r>
            <w:r>
              <w:rPr>
                <w:kern w:val="0"/>
                <w:sz w:val="18"/>
                <w:szCs w:val="18"/>
              </w:rPr>
              <w:br w:type="textWrapping"/>
            </w:r>
            <w:r>
              <w:rPr>
                <w:kern w:val="0"/>
                <w:sz w:val="18"/>
                <w:szCs w:val="18"/>
              </w:rPr>
              <w:t>3.综合考虑与本工艺及工序相关的费用及风险，满足图纸、图集、标准、规范、技术要求等相关法律法规的规定基础上，符合图纸、技术标准等相应要求，未尽事宜详见招标文件</w:t>
            </w:r>
          </w:p>
        </w:tc>
        <w:tc>
          <w:tcPr>
            <w:tcW w:w="410"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m3</w:t>
            </w:r>
          </w:p>
        </w:tc>
        <w:tc>
          <w:tcPr>
            <w:tcW w:w="49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2.46</w:t>
            </w:r>
          </w:p>
        </w:tc>
        <w:tc>
          <w:tcPr>
            <w:tcW w:w="413" w:type="pct"/>
            <w:gridSpan w:val="2"/>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4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47"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60"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83" w:type="pct"/>
          <w:trHeight w:val="3435" w:hRule="atLeast"/>
        </w:trPr>
        <w:tc>
          <w:tcPr>
            <w:tcW w:w="239"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3</w:t>
            </w:r>
          </w:p>
        </w:tc>
        <w:tc>
          <w:tcPr>
            <w:tcW w:w="751"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041001008001</w:t>
            </w:r>
          </w:p>
        </w:tc>
        <w:tc>
          <w:tcPr>
            <w:tcW w:w="65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拆除临时恢复混凝保护带</w:t>
            </w:r>
          </w:p>
        </w:tc>
        <w:tc>
          <w:tcPr>
            <w:tcW w:w="906"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1.拆除方式:综合考虑</w:t>
            </w:r>
            <w:r>
              <w:rPr>
                <w:kern w:val="0"/>
                <w:sz w:val="18"/>
                <w:szCs w:val="18"/>
              </w:rPr>
              <w:br w:type="textWrapping"/>
            </w:r>
            <w:r>
              <w:rPr>
                <w:kern w:val="0"/>
                <w:sz w:val="18"/>
                <w:szCs w:val="18"/>
              </w:rPr>
              <w:t>2.材质:C50钢纤维灌浆料</w:t>
            </w:r>
            <w:r>
              <w:rPr>
                <w:kern w:val="0"/>
                <w:sz w:val="18"/>
                <w:szCs w:val="18"/>
              </w:rPr>
              <w:br w:type="textWrapping"/>
            </w:r>
            <w:r>
              <w:rPr>
                <w:kern w:val="0"/>
                <w:sz w:val="18"/>
                <w:szCs w:val="18"/>
              </w:rPr>
              <w:t>3.厚度:10cm以内</w:t>
            </w:r>
            <w:r>
              <w:rPr>
                <w:kern w:val="0"/>
                <w:sz w:val="18"/>
                <w:szCs w:val="18"/>
              </w:rPr>
              <w:br w:type="textWrapping"/>
            </w:r>
            <w:r>
              <w:rPr>
                <w:kern w:val="0"/>
                <w:sz w:val="18"/>
                <w:szCs w:val="18"/>
              </w:rPr>
              <w:t>4.综合考虑与本工艺及工序相关的费用及风险，满足图纸、图集、标准、规范、技术要求等相关法律法规的规定基础上，符合图纸、技术标准等相应要求，未尽事宜详见招标文件</w:t>
            </w:r>
          </w:p>
        </w:tc>
        <w:tc>
          <w:tcPr>
            <w:tcW w:w="410"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m3</w:t>
            </w:r>
          </w:p>
        </w:tc>
        <w:tc>
          <w:tcPr>
            <w:tcW w:w="49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2.46</w:t>
            </w:r>
          </w:p>
        </w:tc>
        <w:tc>
          <w:tcPr>
            <w:tcW w:w="413" w:type="pct"/>
            <w:gridSpan w:val="2"/>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46"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47"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60"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83" w:type="pct"/>
          <w:trHeight w:val="360" w:hRule="atLeast"/>
        </w:trPr>
        <w:tc>
          <w:tcPr>
            <w:tcW w:w="386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kern w:val="0"/>
                <w:sz w:val="18"/>
                <w:szCs w:val="18"/>
              </w:rPr>
            </w:pPr>
            <w:r>
              <w:rPr>
                <w:kern w:val="0"/>
                <w:sz w:val="18"/>
                <w:szCs w:val="18"/>
              </w:rPr>
              <w:t>本页小计</w:t>
            </w:r>
          </w:p>
        </w:tc>
        <w:tc>
          <w:tcPr>
            <w:tcW w:w="246" w:type="pct"/>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47" w:type="pct"/>
            <w:tcBorders>
              <w:top w:val="nil"/>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60" w:type="pct"/>
            <w:tcBorders>
              <w:top w:val="nil"/>
              <w:left w:val="nil"/>
              <w:bottom w:val="single" w:color="000000" w:sz="8"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83" w:type="pct"/>
          <w:trHeight w:val="480" w:hRule="atLeast"/>
        </w:trPr>
        <w:tc>
          <w:tcPr>
            <w:tcW w:w="3817" w:type="pct"/>
            <w:gridSpan w:val="7"/>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　</w:t>
            </w:r>
          </w:p>
        </w:tc>
        <w:tc>
          <w:tcPr>
            <w:tcW w:w="1000" w:type="pct"/>
            <w:gridSpan w:val="5"/>
            <w:tcBorders>
              <w:top w:val="nil"/>
              <w:left w:val="nil"/>
              <w:bottom w:val="nil"/>
              <w:right w:val="nil"/>
            </w:tcBorders>
            <w:shd w:val="clear" w:color="FFFFFF" w:fill="FFFFFF"/>
            <w:vAlign w:val="center"/>
          </w:tcPr>
          <w:p>
            <w:pPr>
              <w:widowControl/>
              <w:jc w:val="right"/>
              <w:rPr>
                <w:kern w:val="0"/>
                <w:sz w:val="18"/>
                <w:szCs w:val="18"/>
              </w:rPr>
            </w:pPr>
            <w:r>
              <w:rPr>
                <w:kern w:val="0"/>
                <w:sz w:val="18"/>
                <w:szCs w:val="18"/>
              </w:rPr>
              <w:t>　</w:t>
            </w:r>
          </w:p>
        </w:tc>
      </w:tr>
    </w:tbl>
    <w:p>
      <w:r>
        <w:br w:type="page"/>
      </w:r>
    </w:p>
    <w:tbl>
      <w:tblPr>
        <w:tblStyle w:val="4"/>
        <w:tblW w:w="5182" w:type="pct"/>
        <w:tblInd w:w="0" w:type="dxa"/>
        <w:tblLayout w:type="autofit"/>
        <w:tblCellMar>
          <w:top w:w="0" w:type="dxa"/>
          <w:left w:w="108" w:type="dxa"/>
          <w:bottom w:w="0" w:type="dxa"/>
          <w:right w:w="108" w:type="dxa"/>
        </w:tblCellMar>
      </w:tblPr>
      <w:tblGrid>
        <w:gridCol w:w="467"/>
        <w:gridCol w:w="1330"/>
        <w:gridCol w:w="959"/>
        <w:gridCol w:w="1604"/>
        <w:gridCol w:w="726"/>
        <w:gridCol w:w="873"/>
        <w:gridCol w:w="661"/>
        <w:gridCol w:w="69"/>
        <w:gridCol w:w="242"/>
        <w:gridCol w:w="341"/>
        <w:gridCol w:w="728"/>
        <w:gridCol w:w="521"/>
        <w:gridCol w:w="311"/>
      </w:tblGrid>
      <w:tr>
        <w:tblPrEx>
          <w:tblCellMar>
            <w:top w:w="0" w:type="dxa"/>
            <w:left w:w="108" w:type="dxa"/>
            <w:bottom w:w="0" w:type="dxa"/>
            <w:right w:w="108" w:type="dxa"/>
          </w:tblCellMar>
        </w:tblPrEx>
        <w:trPr>
          <w:gridAfter w:val="1"/>
          <w:wAfter w:w="176" w:type="pct"/>
          <w:trHeight w:val="555" w:hRule="atLeast"/>
        </w:trPr>
        <w:tc>
          <w:tcPr>
            <w:tcW w:w="4824" w:type="pct"/>
            <w:gridSpan w:val="12"/>
            <w:tcBorders>
              <w:top w:val="nil"/>
              <w:left w:val="nil"/>
              <w:bottom w:val="nil"/>
              <w:right w:val="nil"/>
            </w:tcBorders>
            <w:shd w:val="clear" w:color="FFFFFF" w:fill="FFFFFF"/>
            <w:vAlign w:val="center"/>
          </w:tcPr>
          <w:p>
            <w:pPr>
              <w:widowControl/>
              <w:jc w:val="center"/>
              <w:rPr>
                <w:kern w:val="0"/>
                <w:sz w:val="32"/>
                <w:szCs w:val="32"/>
              </w:rPr>
            </w:pPr>
            <w:r>
              <w:rPr>
                <w:kern w:val="0"/>
                <w:sz w:val="32"/>
                <w:szCs w:val="32"/>
              </w:rPr>
              <w:t>分部分项工程和单价措施项目清单与计价表</w:t>
            </w:r>
          </w:p>
        </w:tc>
      </w:tr>
      <w:tr>
        <w:tblPrEx>
          <w:tblCellMar>
            <w:top w:w="0" w:type="dxa"/>
            <w:left w:w="108" w:type="dxa"/>
            <w:bottom w:w="0" w:type="dxa"/>
            <w:right w:w="108" w:type="dxa"/>
          </w:tblCellMar>
        </w:tblPrEx>
        <w:trPr>
          <w:trHeight w:val="735" w:hRule="atLeast"/>
        </w:trPr>
        <w:tc>
          <w:tcPr>
            <w:tcW w:w="3787" w:type="pct"/>
            <w:gridSpan w:val="8"/>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工程名称：市政工程</w:t>
            </w:r>
          </w:p>
        </w:tc>
        <w:tc>
          <w:tcPr>
            <w:tcW w:w="137" w:type="pct"/>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　</w:t>
            </w:r>
          </w:p>
        </w:tc>
        <w:tc>
          <w:tcPr>
            <w:tcW w:w="1076" w:type="pct"/>
            <w:gridSpan w:val="4"/>
            <w:tcBorders>
              <w:top w:val="nil"/>
              <w:left w:val="nil"/>
              <w:bottom w:val="nil"/>
              <w:right w:val="nil"/>
            </w:tcBorders>
            <w:shd w:val="clear" w:color="FFFFFF" w:fill="FFFFFF"/>
            <w:vAlign w:val="center"/>
          </w:tcPr>
          <w:p>
            <w:pPr>
              <w:widowControl/>
              <w:jc w:val="right"/>
              <w:rPr>
                <w:kern w:val="0"/>
                <w:sz w:val="18"/>
                <w:szCs w:val="18"/>
              </w:rPr>
            </w:pPr>
            <w:r>
              <w:rPr>
                <w:kern w:val="0"/>
                <w:sz w:val="18"/>
                <w:szCs w:val="18"/>
              </w:rPr>
              <w:t>第  2  页  共  3  页</w:t>
            </w:r>
          </w:p>
        </w:tc>
      </w:tr>
      <w:tr>
        <w:tblPrEx>
          <w:tblCellMar>
            <w:top w:w="0" w:type="dxa"/>
            <w:left w:w="108" w:type="dxa"/>
            <w:bottom w:w="0" w:type="dxa"/>
            <w:right w:w="108" w:type="dxa"/>
          </w:tblCellMar>
        </w:tblPrEx>
        <w:trPr>
          <w:gridAfter w:val="1"/>
          <w:wAfter w:w="176" w:type="pct"/>
          <w:trHeight w:val="360" w:hRule="atLeast"/>
        </w:trPr>
        <w:tc>
          <w:tcPr>
            <w:tcW w:w="2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序号</w:t>
            </w:r>
          </w:p>
        </w:tc>
        <w:tc>
          <w:tcPr>
            <w:tcW w:w="75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子目编码</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子目名称</w:t>
            </w:r>
          </w:p>
        </w:tc>
        <w:tc>
          <w:tcPr>
            <w:tcW w:w="9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子目特征描述</w:t>
            </w:r>
          </w:p>
        </w:tc>
        <w:tc>
          <w:tcPr>
            <w:tcW w:w="4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计量单位</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工程量</w:t>
            </w:r>
          </w:p>
        </w:tc>
        <w:tc>
          <w:tcPr>
            <w:tcW w:w="1449" w:type="pct"/>
            <w:gridSpan w:val="6"/>
            <w:tcBorders>
              <w:top w:val="single" w:color="000000" w:sz="8"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金额（元）</w:t>
            </w:r>
          </w:p>
        </w:tc>
      </w:tr>
      <w:tr>
        <w:tblPrEx>
          <w:tblCellMar>
            <w:top w:w="0" w:type="dxa"/>
            <w:left w:w="108" w:type="dxa"/>
            <w:bottom w:w="0" w:type="dxa"/>
            <w:right w:w="108" w:type="dxa"/>
          </w:tblCellMar>
        </w:tblPrEx>
        <w:trPr>
          <w:gridAfter w:val="1"/>
          <w:wAfter w:w="176" w:type="pct"/>
          <w:trHeight w:val="360" w:hRule="atLeast"/>
        </w:trPr>
        <w:tc>
          <w:tcPr>
            <w:tcW w:w="2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5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4"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综合单价</w:t>
            </w: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合价</w:t>
            </w:r>
          </w:p>
        </w:tc>
        <w:tc>
          <w:tcPr>
            <w:tcW w:w="707" w:type="pct"/>
            <w:gridSpan w:val="2"/>
            <w:tcBorders>
              <w:top w:val="single" w:color="000000" w:sz="4"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其中</w:t>
            </w:r>
          </w:p>
        </w:tc>
      </w:tr>
      <w:tr>
        <w:tblPrEx>
          <w:tblCellMar>
            <w:top w:w="0" w:type="dxa"/>
            <w:left w:w="108" w:type="dxa"/>
            <w:bottom w:w="0" w:type="dxa"/>
            <w:right w:w="108" w:type="dxa"/>
          </w:tblCellMar>
        </w:tblPrEx>
        <w:trPr>
          <w:gridAfter w:val="1"/>
          <w:wAfter w:w="176" w:type="pct"/>
          <w:trHeight w:val="360" w:hRule="atLeast"/>
        </w:trPr>
        <w:tc>
          <w:tcPr>
            <w:tcW w:w="2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5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4"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暂估价</w:t>
            </w:r>
          </w:p>
        </w:tc>
        <w:tc>
          <w:tcPr>
            <w:tcW w:w="295" w:type="pct"/>
            <w:tcBorders>
              <w:top w:val="nil"/>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规费</w:t>
            </w:r>
          </w:p>
        </w:tc>
      </w:tr>
      <w:tr>
        <w:tblPrEx>
          <w:tblCellMar>
            <w:top w:w="0" w:type="dxa"/>
            <w:left w:w="108" w:type="dxa"/>
            <w:bottom w:w="0" w:type="dxa"/>
            <w:right w:w="108" w:type="dxa"/>
          </w:tblCellMar>
        </w:tblPrEx>
        <w:trPr>
          <w:gridAfter w:val="1"/>
          <w:wAfter w:w="176" w:type="pct"/>
          <w:trHeight w:val="5235"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4</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040309007001</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安装桥梁伸缩缝</w:t>
            </w:r>
          </w:p>
        </w:tc>
        <w:tc>
          <w:tcPr>
            <w:tcW w:w="908"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1.材料品种:高弹性无缝桥梁伸缩缝</w:t>
            </w:r>
            <w:r>
              <w:rPr>
                <w:kern w:val="0"/>
                <w:sz w:val="18"/>
                <w:szCs w:val="18"/>
              </w:rPr>
              <w:br w:type="textWrapping"/>
            </w:r>
            <w:r>
              <w:rPr>
                <w:kern w:val="0"/>
                <w:sz w:val="18"/>
                <w:szCs w:val="18"/>
              </w:rPr>
              <w:t>2.油料修补封边、缺口</w:t>
            </w:r>
            <w:r>
              <w:rPr>
                <w:kern w:val="0"/>
                <w:sz w:val="18"/>
                <w:szCs w:val="18"/>
              </w:rPr>
              <w:br w:type="textWrapping"/>
            </w:r>
            <w:r>
              <w:rPr>
                <w:kern w:val="0"/>
                <w:sz w:val="18"/>
                <w:szCs w:val="18"/>
              </w:rPr>
              <w:t>3.TST弹性体油料（面层施工）</w:t>
            </w:r>
            <w:r>
              <w:rPr>
                <w:kern w:val="0"/>
                <w:sz w:val="18"/>
                <w:szCs w:val="18"/>
              </w:rPr>
              <w:br w:type="textWrapping"/>
            </w:r>
            <w:r>
              <w:rPr>
                <w:kern w:val="0"/>
                <w:sz w:val="18"/>
                <w:szCs w:val="18"/>
              </w:rPr>
              <w:t>4.TST弹性体油料（底层施工）</w:t>
            </w:r>
            <w:r>
              <w:rPr>
                <w:kern w:val="0"/>
                <w:sz w:val="18"/>
                <w:szCs w:val="18"/>
              </w:rPr>
              <w:br w:type="textWrapping"/>
            </w:r>
            <w:r>
              <w:rPr>
                <w:kern w:val="0"/>
                <w:sz w:val="18"/>
                <w:szCs w:val="18"/>
              </w:rPr>
              <w:t>5.放置泡沫板，搭接钢板（Q235B）</w:t>
            </w:r>
            <w:r>
              <w:rPr>
                <w:kern w:val="0"/>
                <w:sz w:val="18"/>
                <w:szCs w:val="18"/>
              </w:rPr>
              <w:br w:type="textWrapping"/>
            </w:r>
            <w:r>
              <w:rPr>
                <w:kern w:val="0"/>
                <w:sz w:val="18"/>
                <w:szCs w:val="18"/>
              </w:rPr>
              <w:t>6.涂刷粘合剂</w:t>
            </w:r>
            <w:r>
              <w:rPr>
                <w:kern w:val="0"/>
                <w:sz w:val="18"/>
                <w:szCs w:val="18"/>
              </w:rPr>
              <w:br w:type="textWrapping"/>
            </w:r>
            <w:r>
              <w:rPr>
                <w:kern w:val="0"/>
                <w:sz w:val="18"/>
                <w:szCs w:val="18"/>
              </w:rPr>
              <w:t>7.伸缩层基底层清理及找平</w:t>
            </w:r>
            <w:r>
              <w:rPr>
                <w:kern w:val="0"/>
                <w:sz w:val="18"/>
                <w:szCs w:val="18"/>
              </w:rPr>
              <w:br w:type="textWrapping"/>
            </w:r>
            <w:r>
              <w:rPr>
                <w:kern w:val="0"/>
                <w:sz w:val="18"/>
                <w:szCs w:val="18"/>
              </w:rPr>
              <w:t>8.综合考虑与本工艺及工序相关的费用及风险，满足图纸、图集、标准、规范、技术要求等相关法律法规的规定基础上，符合图纸、技术标准等相应要求，未尽事宜详见招标文件</w:t>
            </w:r>
          </w:p>
        </w:tc>
        <w:tc>
          <w:tcPr>
            <w:tcW w:w="411"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m</w:t>
            </w:r>
          </w:p>
        </w:tc>
        <w:tc>
          <w:tcPr>
            <w:tcW w:w="494"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54.70</w:t>
            </w:r>
          </w:p>
        </w:tc>
        <w:tc>
          <w:tcPr>
            <w:tcW w:w="412" w:type="pct"/>
            <w:gridSpan w:val="2"/>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378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kern w:val="0"/>
                <w:sz w:val="18"/>
                <w:szCs w:val="18"/>
              </w:rPr>
            </w:pPr>
            <w:r>
              <w:rPr>
                <w:kern w:val="0"/>
                <w:sz w:val="18"/>
                <w:szCs w:val="18"/>
              </w:rPr>
              <w:t>本页小计</w:t>
            </w:r>
          </w:p>
        </w:tc>
        <w:tc>
          <w:tcPr>
            <w:tcW w:w="330" w:type="pct"/>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8"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480" w:hRule="atLeast"/>
        </w:trPr>
        <w:tc>
          <w:tcPr>
            <w:tcW w:w="3748" w:type="pct"/>
            <w:gridSpan w:val="7"/>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　</w:t>
            </w:r>
          </w:p>
        </w:tc>
        <w:tc>
          <w:tcPr>
            <w:tcW w:w="1076" w:type="pct"/>
            <w:gridSpan w:val="5"/>
            <w:tcBorders>
              <w:top w:val="nil"/>
              <w:left w:val="nil"/>
              <w:bottom w:val="nil"/>
              <w:right w:val="nil"/>
            </w:tcBorders>
            <w:shd w:val="clear" w:color="FFFFFF" w:fill="FFFFFF"/>
            <w:vAlign w:val="center"/>
          </w:tcPr>
          <w:p>
            <w:pPr>
              <w:widowControl/>
              <w:jc w:val="right"/>
              <w:rPr>
                <w:kern w:val="0"/>
                <w:sz w:val="18"/>
                <w:szCs w:val="18"/>
              </w:rPr>
            </w:pPr>
            <w:r>
              <w:rPr>
                <w:kern w:val="0"/>
                <w:sz w:val="18"/>
                <w:szCs w:val="18"/>
              </w:rPr>
              <w:t>　</w:t>
            </w:r>
          </w:p>
        </w:tc>
      </w:tr>
    </w:tbl>
    <w:p>
      <w:r>
        <w:br w:type="page"/>
      </w:r>
    </w:p>
    <w:tbl>
      <w:tblPr>
        <w:tblStyle w:val="4"/>
        <w:tblW w:w="5182" w:type="pct"/>
        <w:tblInd w:w="0" w:type="dxa"/>
        <w:tblLayout w:type="autofit"/>
        <w:tblCellMar>
          <w:top w:w="0" w:type="dxa"/>
          <w:left w:w="108" w:type="dxa"/>
          <w:bottom w:w="0" w:type="dxa"/>
          <w:right w:w="108" w:type="dxa"/>
        </w:tblCellMar>
      </w:tblPr>
      <w:tblGrid>
        <w:gridCol w:w="467"/>
        <w:gridCol w:w="1330"/>
        <w:gridCol w:w="959"/>
        <w:gridCol w:w="1606"/>
        <w:gridCol w:w="728"/>
        <w:gridCol w:w="873"/>
        <w:gridCol w:w="726"/>
        <w:gridCol w:w="242"/>
        <w:gridCol w:w="341"/>
        <w:gridCol w:w="728"/>
        <w:gridCol w:w="521"/>
        <w:gridCol w:w="311"/>
      </w:tblGrid>
      <w:tr>
        <w:tblPrEx>
          <w:tblCellMar>
            <w:top w:w="0" w:type="dxa"/>
            <w:left w:w="108" w:type="dxa"/>
            <w:bottom w:w="0" w:type="dxa"/>
            <w:right w:w="108" w:type="dxa"/>
          </w:tblCellMar>
        </w:tblPrEx>
        <w:trPr>
          <w:gridAfter w:val="1"/>
          <w:wAfter w:w="176" w:type="pct"/>
          <w:trHeight w:val="555" w:hRule="atLeast"/>
        </w:trPr>
        <w:tc>
          <w:tcPr>
            <w:tcW w:w="4824" w:type="pct"/>
            <w:gridSpan w:val="11"/>
            <w:tcBorders>
              <w:top w:val="nil"/>
              <w:left w:val="nil"/>
              <w:bottom w:val="nil"/>
              <w:right w:val="nil"/>
            </w:tcBorders>
            <w:shd w:val="clear" w:color="FFFFFF" w:fill="FFFFFF"/>
            <w:vAlign w:val="center"/>
          </w:tcPr>
          <w:p>
            <w:pPr>
              <w:widowControl/>
              <w:jc w:val="center"/>
              <w:rPr>
                <w:kern w:val="0"/>
                <w:sz w:val="32"/>
                <w:szCs w:val="32"/>
              </w:rPr>
            </w:pPr>
            <w:r>
              <w:rPr>
                <w:kern w:val="0"/>
                <w:sz w:val="32"/>
                <w:szCs w:val="32"/>
              </w:rPr>
              <w:t>分部分项工程和单价措施项目清单与计价表</w:t>
            </w:r>
          </w:p>
        </w:tc>
      </w:tr>
      <w:tr>
        <w:tblPrEx>
          <w:tblCellMar>
            <w:top w:w="0" w:type="dxa"/>
            <w:left w:w="108" w:type="dxa"/>
            <w:bottom w:w="0" w:type="dxa"/>
            <w:right w:w="108" w:type="dxa"/>
          </w:tblCellMar>
        </w:tblPrEx>
        <w:trPr>
          <w:trHeight w:val="735" w:hRule="atLeast"/>
        </w:trPr>
        <w:tc>
          <w:tcPr>
            <w:tcW w:w="3787" w:type="pct"/>
            <w:gridSpan w:val="7"/>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工程名称：市政工程</w:t>
            </w:r>
          </w:p>
        </w:tc>
        <w:tc>
          <w:tcPr>
            <w:tcW w:w="137" w:type="pct"/>
            <w:tcBorders>
              <w:top w:val="nil"/>
              <w:left w:val="nil"/>
              <w:bottom w:val="nil"/>
              <w:right w:val="nil"/>
            </w:tcBorders>
            <w:shd w:val="clear" w:color="FFFFFF" w:fill="FFFFFF"/>
            <w:vAlign w:val="center"/>
          </w:tcPr>
          <w:p>
            <w:pPr>
              <w:widowControl/>
              <w:jc w:val="left"/>
              <w:rPr>
                <w:kern w:val="0"/>
                <w:sz w:val="18"/>
                <w:szCs w:val="18"/>
              </w:rPr>
            </w:pPr>
            <w:r>
              <w:rPr>
                <w:kern w:val="0"/>
                <w:sz w:val="18"/>
                <w:szCs w:val="18"/>
              </w:rPr>
              <w:t>　</w:t>
            </w:r>
          </w:p>
        </w:tc>
        <w:tc>
          <w:tcPr>
            <w:tcW w:w="1076" w:type="pct"/>
            <w:gridSpan w:val="4"/>
            <w:tcBorders>
              <w:top w:val="nil"/>
              <w:left w:val="nil"/>
              <w:bottom w:val="nil"/>
              <w:right w:val="nil"/>
            </w:tcBorders>
            <w:shd w:val="clear" w:color="FFFFFF" w:fill="FFFFFF"/>
            <w:vAlign w:val="center"/>
          </w:tcPr>
          <w:p>
            <w:pPr>
              <w:widowControl/>
              <w:jc w:val="right"/>
              <w:rPr>
                <w:kern w:val="0"/>
                <w:sz w:val="18"/>
                <w:szCs w:val="18"/>
              </w:rPr>
            </w:pPr>
            <w:r>
              <w:rPr>
                <w:kern w:val="0"/>
                <w:sz w:val="18"/>
                <w:szCs w:val="18"/>
              </w:rPr>
              <w:t>第  3  页  共  3  页</w:t>
            </w:r>
          </w:p>
        </w:tc>
      </w:tr>
      <w:tr>
        <w:tblPrEx>
          <w:tblCellMar>
            <w:top w:w="0" w:type="dxa"/>
            <w:left w:w="108" w:type="dxa"/>
            <w:bottom w:w="0" w:type="dxa"/>
            <w:right w:w="108" w:type="dxa"/>
          </w:tblCellMar>
        </w:tblPrEx>
        <w:trPr>
          <w:gridAfter w:val="1"/>
          <w:wAfter w:w="176" w:type="pct"/>
          <w:trHeight w:val="360" w:hRule="atLeast"/>
        </w:trPr>
        <w:tc>
          <w:tcPr>
            <w:tcW w:w="2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序号</w:t>
            </w:r>
          </w:p>
        </w:tc>
        <w:tc>
          <w:tcPr>
            <w:tcW w:w="75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子目编码</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子目名称</w:t>
            </w:r>
          </w:p>
        </w:tc>
        <w:tc>
          <w:tcPr>
            <w:tcW w:w="90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子目特征描述</w:t>
            </w:r>
          </w:p>
        </w:tc>
        <w:tc>
          <w:tcPr>
            <w:tcW w:w="41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计量单位</w:t>
            </w:r>
          </w:p>
        </w:tc>
        <w:tc>
          <w:tcPr>
            <w:tcW w:w="4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工程量</w:t>
            </w:r>
          </w:p>
        </w:tc>
        <w:tc>
          <w:tcPr>
            <w:tcW w:w="1448" w:type="pct"/>
            <w:gridSpan w:val="5"/>
            <w:tcBorders>
              <w:top w:val="single" w:color="000000" w:sz="8"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金额（元）</w:t>
            </w:r>
          </w:p>
        </w:tc>
      </w:tr>
      <w:tr>
        <w:tblPrEx>
          <w:tblCellMar>
            <w:top w:w="0" w:type="dxa"/>
            <w:left w:w="108" w:type="dxa"/>
            <w:bottom w:w="0" w:type="dxa"/>
            <w:right w:w="108" w:type="dxa"/>
          </w:tblCellMar>
        </w:tblPrEx>
        <w:trPr>
          <w:gridAfter w:val="1"/>
          <w:wAfter w:w="176" w:type="pct"/>
          <w:trHeight w:val="360" w:hRule="atLeast"/>
        </w:trPr>
        <w:tc>
          <w:tcPr>
            <w:tcW w:w="2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5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4"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1" w:type="pct"/>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综合单价</w:t>
            </w: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合价</w:t>
            </w:r>
          </w:p>
        </w:tc>
        <w:tc>
          <w:tcPr>
            <w:tcW w:w="707" w:type="pct"/>
            <w:gridSpan w:val="2"/>
            <w:tcBorders>
              <w:top w:val="single" w:color="000000" w:sz="4" w:space="0"/>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其中</w:t>
            </w:r>
          </w:p>
        </w:tc>
      </w:tr>
      <w:tr>
        <w:tblPrEx>
          <w:tblCellMar>
            <w:top w:w="0" w:type="dxa"/>
            <w:left w:w="108" w:type="dxa"/>
            <w:bottom w:w="0" w:type="dxa"/>
            <w:right w:w="108" w:type="dxa"/>
          </w:tblCellMar>
        </w:tblPrEx>
        <w:trPr>
          <w:gridAfter w:val="1"/>
          <w:wAfter w:w="176" w:type="pct"/>
          <w:trHeight w:val="360" w:hRule="atLeast"/>
        </w:trPr>
        <w:tc>
          <w:tcPr>
            <w:tcW w:w="2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kern w:val="0"/>
                <w:sz w:val="18"/>
                <w:szCs w:val="18"/>
              </w:rPr>
            </w:pPr>
          </w:p>
        </w:tc>
        <w:tc>
          <w:tcPr>
            <w:tcW w:w="75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5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90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94"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1" w:type="pct"/>
            <w:vMerge w:val="continue"/>
            <w:tcBorders>
              <w:top w:val="nil"/>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暂估价</w:t>
            </w:r>
          </w:p>
        </w:tc>
        <w:tc>
          <w:tcPr>
            <w:tcW w:w="295" w:type="pct"/>
            <w:tcBorders>
              <w:top w:val="nil"/>
              <w:left w:val="nil"/>
              <w:bottom w:val="single" w:color="000000" w:sz="4" w:space="0"/>
              <w:right w:val="single" w:color="000000" w:sz="8" w:space="0"/>
            </w:tcBorders>
            <w:shd w:val="clear" w:color="FFFFFF" w:fill="FFFFFF"/>
            <w:vAlign w:val="center"/>
          </w:tcPr>
          <w:p>
            <w:pPr>
              <w:widowControl/>
              <w:jc w:val="center"/>
              <w:rPr>
                <w:kern w:val="0"/>
                <w:sz w:val="18"/>
                <w:szCs w:val="18"/>
              </w:rPr>
            </w:pPr>
            <w:r>
              <w:rPr>
                <w:kern w:val="0"/>
                <w:sz w:val="18"/>
                <w:szCs w:val="18"/>
              </w:rPr>
              <w:t>规费</w:t>
            </w:r>
          </w:p>
        </w:tc>
      </w:tr>
      <w:tr>
        <w:tblPrEx>
          <w:tblCellMar>
            <w:top w:w="0" w:type="dxa"/>
            <w:left w:w="108" w:type="dxa"/>
            <w:bottom w:w="0" w:type="dxa"/>
            <w:right w:w="108" w:type="dxa"/>
          </w:tblCellMar>
        </w:tblPrEx>
        <w:trPr>
          <w:gridAfter w:val="1"/>
          <w:wAfter w:w="176" w:type="pct"/>
          <w:trHeight w:val="681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5</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04B002</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交通维护</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xml:space="preserve">1.指挥人员:10人/次  </w:t>
            </w:r>
            <w:r>
              <w:rPr>
                <w:kern w:val="0"/>
                <w:sz w:val="18"/>
                <w:szCs w:val="18"/>
              </w:rPr>
              <w:br w:type="textWrapping"/>
            </w:r>
            <w:r>
              <w:rPr>
                <w:kern w:val="0"/>
                <w:sz w:val="18"/>
                <w:szCs w:val="18"/>
              </w:rPr>
              <w:t xml:space="preserve">2.球式照明灯:1个/次  </w:t>
            </w:r>
            <w:r>
              <w:rPr>
                <w:kern w:val="0"/>
                <w:sz w:val="18"/>
                <w:szCs w:val="18"/>
              </w:rPr>
              <w:br w:type="textWrapping"/>
            </w:r>
            <w:r>
              <w:rPr>
                <w:kern w:val="0"/>
                <w:sz w:val="18"/>
                <w:szCs w:val="18"/>
              </w:rPr>
              <w:t xml:space="preserve">3.标示灯:13个/次 </w:t>
            </w:r>
            <w:r>
              <w:rPr>
                <w:kern w:val="0"/>
                <w:sz w:val="18"/>
                <w:szCs w:val="18"/>
              </w:rPr>
              <w:br w:type="textWrapping"/>
            </w:r>
            <w:r>
              <w:rPr>
                <w:kern w:val="0"/>
                <w:sz w:val="18"/>
                <w:szCs w:val="18"/>
              </w:rPr>
              <w:t xml:space="preserve">4.防撞消能桶:1个/次  </w:t>
            </w:r>
            <w:r>
              <w:rPr>
                <w:kern w:val="0"/>
                <w:sz w:val="18"/>
                <w:szCs w:val="18"/>
              </w:rPr>
              <w:br w:type="textWrapping"/>
            </w:r>
            <w:r>
              <w:rPr>
                <w:kern w:val="0"/>
                <w:sz w:val="18"/>
                <w:szCs w:val="18"/>
              </w:rPr>
              <w:t xml:space="preserve">5.轻型运输车:1台班/次    </w:t>
            </w:r>
            <w:r>
              <w:rPr>
                <w:kern w:val="0"/>
                <w:sz w:val="18"/>
                <w:szCs w:val="18"/>
              </w:rPr>
              <w:br w:type="textWrapping"/>
            </w:r>
            <w:r>
              <w:rPr>
                <w:kern w:val="0"/>
                <w:sz w:val="18"/>
                <w:szCs w:val="18"/>
              </w:rPr>
              <w:t xml:space="preserve">6.大回转灯:2个/次 </w:t>
            </w:r>
            <w:r>
              <w:rPr>
                <w:kern w:val="0"/>
                <w:sz w:val="18"/>
                <w:szCs w:val="18"/>
              </w:rPr>
              <w:br w:type="textWrapping"/>
            </w:r>
            <w:r>
              <w:rPr>
                <w:kern w:val="0"/>
                <w:sz w:val="18"/>
                <w:szCs w:val="18"/>
              </w:rPr>
              <w:t xml:space="preserve">7.交通标示牌:2个/次  </w:t>
            </w:r>
            <w:r>
              <w:rPr>
                <w:kern w:val="0"/>
                <w:sz w:val="18"/>
                <w:szCs w:val="18"/>
              </w:rPr>
              <w:br w:type="textWrapping"/>
            </w:r>
            <w:r>
              <w:rPr>
                <w:kern w:val="0"/>
                <w:sz w:val="18"/>
                <w:szCs w:val="18"/>
              </w:rPr>
              <w:t xml:space="preserve">8.施工绕行牌:2个/次 </w:t>
            </w:r>
            <w:r>
              <w:rPr>
                <w:kern w:val="0"/>
                <w:sz w:val="18"/>
                <w:szCs w:val="18"/>
              </w:rPr>
              <w:br w:type="textWrapping"/>
            </w:r>
            <w:r>
              <w:rPr>
                <w:kern w:val="0"/>
                <w:sz w:val="18"/>
                <w:szCs w:val="18"/>
              </w:rPr>
              <w:t xml:space="preserve">9.方锥筒:600个/次  </w:t>
            </w:r>
            <w:r>
              <w:rPr>
                <w:kern w:val="0"/>
                <w:sz w:val="18"/>
                <w:szCs w:val="18"/>
              </w:rPr>
              <w:br w:type="textWrapping"/>
            </w:r>
            <w:r>
              <w:rPr>
                <w:kern w:val="0"/>
                <w:sz w:val="18"/>
                <w:szCs w:val="18"/>
              </w:rPr>
              <w:t>10.LED警示灯:2个/次</w:t>
            </w:r>
            <w:r>
              <w:rPr>
                <w:kern w:val="0"/>
                <w:sz w:val="18"/>
                <w:szCs w:val="18"/>
              </w:rPr>
              <w:br w:type="textWrapping"/>
            </w:r>
            <w:r>
              <w:rPr>
                <w:kern w:val="0"/>
                <w:sz w:val="18"/>
                <w:szCs w:val="18"/>
              </w:rPr>
              <w:t xml:space="preserve">11.频闪灯:2个/次 </w:t>
            </w:r>
            <w:r>
              <w:rPr>
                <w:kern w:val="0"/>
                <w:sz w:val="18"/>
                <w:szCs w:val="18"/>
              </w:rPr>
              <w:br w:type="textWrapping"/>
            </w:r>
            <w:r>
              <w:rPr>
                <w:kern w:val="0"/>
                <w:sz w:val="18"/>
                <w:szCs w:val="18"/>
              </w:rPr>
              <w:t xml:space="preserve">12.反光背心:10个/次 </w:t>
            </w:r>
            <w:r>
              <w:rPr>
                <w:kern w:val="0"/>
                <w:sz w:val="18"/>
                <w:szCs w:val="18"/>
              </w:rPr>
              <w:br w:type="textWrapping"/>
            </w:r>
            <w:r>
              <w:rPr>
                <w:kern w:val="0"/>
                <w:sz w:val="18"/>
                <w:szCs w:val="18"/>
              </w:rPr>
              <w:t>13.交通指挥棒:6个/次</w:t>
            </w:r>
            <w:r>
              <w:rPr>
                <w:kern w:val="0"/>
                <w:sz w:val="18"/>
                <w:szCs w:val="18"/>
              </w:rPr>
              <w:br w:type="textWrapping"/>
            </w:r>
            <w:r>
              <w:rPr>
                <w:kern w:val="0"/>
                <w:sz w:val="18"/>
                <w:szCs w:val="18"/>
              </w:rPr>
              <w:t xml:space="preserve">14.发电机:1台班/次 </w:t>
            </w:r>
            <w:r>
              <w:rPr>
                <w:kern w:val="0"/>
                <w:sz w:val="18"/>
                <w:szCs w:val="18"/>
              </w:rPr>
              <w:br w:type="textWrapping"/>
            </w:r>
            <w:r>
              <w:rPr>
                <w:kern w:val="0"/>
                <w:sz w:val="18"/>
                <w:szCs w:val="18"/>
              </w:rPr>
              <w:t>15.工程车:1台班/次</w:t>
            </w: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次</w:t>
            </w:r>
          </w:p>
        </w:tc>
        <w:tc>
          <w:tcPr>
            <w:tcW w:w="494"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16</w:t>
            </w:r>
          </w:p>
        </w:tc>
        <w:tc>
          <w:tcPr>
            <w:tcW w:w="411"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2535"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6</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040203006001</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沥青混凝土恢复</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缺口沥青路面恢复 恢复宽度B=2.1m</w:t>
            </w:r>
            <w:r>
              <w:rPr>
                <w:kern w:val="0"/>
                <w:sz w:val="18"/>
                <w:szCs w:val="18"/>
              </w:rPr>
              <w:br w:type="textWrapping"/>
            </w:r>
            <w:r>
              <w:rPr>
                <w:kern w:val="0"/>
                <w:sz w:val="18"/>
                <w:szCs w:val="18"/>
              </w:rPr>
              <w:t>1.上封层</w:t>
            </w:r>
            <w:r>
              <w:rPr>
                <w:kern w:val="0"/>
                <w:sz w:val="18"/>
                <w:szCs w:val="18"/>
              </w:rPr>
              <w:br w:type="textWrapping"/>
            </w:r>
            <w:r>
              <w:rPr>
                <w:kern w:val="0"/>
                <w:sz w:val="18"/>
                <w:szCs w:val="18"/>
              </w:rPr>
              <w:t>2.AC-16沥青面层铺装碾压50mm</w:t>
            </w:r>
            <w:r>
              <w:rPr>
                <w:kern w:val="0"/>
                <w:sz w:val="18"/>
                <w:szCs w:val="18"/>
              </w:rPr>
              <w:br w:type="textWrapping"/>
            </w:r>
            <w:r>
              <w:rPr>
                <w:kern w:val="0"/>
                <w:sz w:val="18"/>
                <w:szCs w:val="18"/>
              </w:rPr>
              <w:t>3.粘层</w:t>
            </w:r>
            <w:r>
              <w:rPr>
                <w:kern w:val="0"/>
                <w:sz w:val="18"/>
                <w:szCs w:val="18"/>
              </w:rPr>
              <w:br w:type="textWrapping"/>
            </w:r>
            <w:r>
              <w:rPr>
                <w:kern w:val="0"/>
                <w:sz w:val="18"/>
                <w:szCs w:val="18"/>
              </w:rPr>
              <w:t>4.铣刨机铣刨路面(拉毛)25mm，废料清运</w:t>
            </w:r>
            <w:r>
              <w:rPr>
                <w:kern w:val="0"/>
                <w:sz w:val="18"/>
                <w:szCs w:val="18"/>
              </w:rPr>
              <w:br w:type="textWrapping"/>
            </w:r>
            <w:r>
              <w:rPr>
                <w:kern w:val="0"/>
                <w:sz w:val="18"/>
                <w:szCs w:val="18"/>
              </w:rPr>
              <w:t>5.临时钢板吊装撤除</w:t>
            </w: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m2</w:t>
            </w:r>
          </w:p>
        </w:tc>
        <w:tc>
          <w:tcPr>
            <w:tcW w:w="494"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114.87</w:t>
            </w:r>
          </w:p>
        </w:tc>
        <w:tc>
          <w:tcPr>
            <w:tcW w:w="411"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分部小计</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94"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1"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措施项目</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94"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1"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分部小计</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94"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1"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494"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411"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265"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753"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543"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909" w:type="pct"/>
            <w:tcBorders>
              <w:top w:val="nil"/>
              <w:left w:val="nil"/>
              <w:bottom w:val="single" w:color="000000" w:sz="4" w:space="0"/>
              <w:right w:val="single" w:color="000000" w:sz="4" w:space="0"/>
            </w:tcBorders>
            <w:shd w:val="clear" w:color="FFFFFF" w:fill="FFFFFF"/>
            <w:vAlign w:val="center"/>
          </w:tcPr>
          <w:p>
            <w:pPr>
              <w:widowControl/>
              <w:jc w:val="lef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494" w:type="pct"/>
            <w:tcBorders>
              <w:top w:val="nil"/>
              <w:left w:val="nil"/>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　</w:t>
            </w:r>
          </w:p>
        </w:tc>
        <w:tc>
          <w:tcPr>
            <w:tcW w:w="411"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3787"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kern w:val="0"/>
                <w:sz w:val="18"/>
                <w:szCs w:val="18"/>
              </w:rPr>
            </w:pPr>
            <w:r>
              <w:rPr>
                <w:kern w:val="0"/>
                <w:sz w:val="18"/>
                <w:szCs w:val="18"/>
              </w:rPr>
              <w:t>本页小计</w:t>
            </w:r>
          </w:p>
        </w:tc>
        <w:tc>
          <w:tcPr>
            <w:tcW w:w="330" w:type="pct"/>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4"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4"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r>
        <w:tblPrEx>
          <w:tblCellMar>
            <w:top w:w="0" w:type="dxa"/>
            <w:left w:w="108" w:type="dxa"/>
            <w:bottom w:w="0" w:type="dxa"/>
            <w:right w:w="108" w:type="dxa"/>
          </w:tblCellMar>
        </w:tblPrEx>
        <w:trPr>
          <w:gridAfter w:val="1"/>
          <w:wAfter w:w="176" w:type="pct"/>
          <w:trHeight w:val="360" w:hRule="atLeast"/>
        </w:trPr>
        <w:tc>
          <w:tcPr>
            <w:tcW w:w="3787"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kern w:val="0"/>
                <w:sz w:val="18"/>
                <w:szCs w:val="18"/>
              </w:rPr>
            </w:pPr>
            <w:r>
              <w:rPr>
                <w:kern w:val="0"/>
                <w:sz w:val="18"/>
                <w:szCs w:val="18"/>
              </w:rPr>
              <w:t>合   计</w:t>
            </w:r>
          </w:p>
        </w:tc>
        <w:tc>
          <w:tcPr>
            <w:tcW w:w="330" w:type="pct"/>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412" w:type="pct"/>
            <w:tcBorders>
              <w:top w:val="nil"/>
              <w:left w:val="nil"/>
              <w:bottom w:val="single" w:color="000000" w:sz="8" w:space="0"/>
              <w:right w:val="single" w:color="000000" w:sz="4" w:space="0"/>
            </w:tcBorders>
            <w:shd w:val="clear" w:color="FFFFFF" w:fill="FFFFFF"/>
            <w:vAlign w:val="center"/>
          </w:tcPr>
          <w:p>
            <w:pPr>
              <w:widowControl/>
              <w:jc w:val="right"/>
              <w:rPr>
                <w:kern w:val="0"/>
                <w:sz w:val="18"/>
                <w:szCs w:val="18"/>
              </w:rPr>
            </w:pPr>
            <w:r>
              <w:rPr>
                <w:kern w:val="0"/>
                <w:sz w:val="18"/>
                <w:szCs w:val="18"/>
              </w:rPr>
              <w:t>　</w:t>
            </w:r>
          </w:p>
        </w:tc>
        <w:tc>
          <w:tcPr>
            <w:tcW w:w="295" w:type="pct"/>
            <w:tcBorders>
              <w:top w:val="nil"/>
              <w:left w:val="nil"/>
              <w:bottom w:val="single" w:color="000000" w:sz="8" w:space="0"/>
              <w:right w:val="single" w:color="000000" w:sz="8" w:space="0"/>
            </w:tcBorders>
            <w:shd w:val="clear" w:color="FFFFFF" w:fill="FFFFFF"/>
            <w:vAlign w:val="center"/>
          </w:tcPr>
          <w:p>
            <w:pPr>
              <w:widowControl/>
              <w:jc w:val="right"/>
              <w:rPr>
                <w:kern w:val="0"/>
                <w:sz w:val="18"/>
                <w:szCs w:val="18"/>
              </w:rPr>
            </w:pPr>
            <w:r>
              <w:rPr>
                <w:kern w:val="0"/>
                <w:sz w:val="18"/>
                <w:szCs w:val="18"/>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C301D"/>
    <w:multiLevelType w:val="multilevel"/>
    <w:tmpl w:val="6E8C301D"/>
    <w:lvl w:ilvl="0" w:tentative="0">
      <w:start w:val="1"/>
      <w:numFmt w:val="japaneseCounting"/>
      <w:lvlText w:val="%1、"/>
      <w:lvlJc w:val="left"/>
      <w:pPr>
        <w:ind w:left="504" w:hanging="504"/>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62304770"/>
    <w:rsid w:val="6230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eastAsiaTheme="minorEastAsia" w:cstheme="minorBidi"/>
      <w:sz w:val="24"/>
    </w:rPr>
  </w:style>
  <w:style w:type="paragraph" w:styleId="3">
    <w:name w:val="toc 1"/>
    <w:basedOn w:val="1"/>
    <w:next w:val="1"/>
    <w:semiHidden/>
    <w:unhideWhenUsed/>
    <w:qFormat/>
    <w:uiPriority w:val="39"/>
    <w:pPr>
      <w:tabs>
        <w:tab w:val="left" w:pos="1050"/>
        <w:tab w:val="right" w:leader="dot" w:pos="8937"/>
      </w:tabs>
      <w:spacing w:line="300" w:lineRule="auto"/>
    </w:pPr>
    <w:rPr>
      <w:rFonts w:ascii="宋体" w:hAnsi="宋体"/>
      <w:b/>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2023-06-08T05:50:00Z</dcterms:created>
  <dc:creator>小杜儿～</dc:creator>
  <cp:lastModifiedBy>小杜儿～</cp:lastModifiedBy>
  <dcterms:modified xsi:type="dcterms:W3CDTF">2023-06-08T05:50:53Z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ABFA4DF13ED440758B90B3AFB9D9B29E_11</vt:lpwstr>
  </property>
</Properties>
</file>