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二</w:t>
      </w:r>
    </w:p>
    <w:p>
      <w:pPr>
        <w:pStyle w:val="2"/>
        <w:pageBreakBefore w:val="0"/>
        <w:numPr>
          <w:ilvl w:val="0"/>
          <w:numId w:val="0"/>
        </w:numPr>
        <w:tabs>
          <w:tab w:val="left" w:pos="480"/>
          <w:tab w:val="clear" w:pos="425"/>
        </w:tabs>
        <w:wordWrap/>
        <w:topLinePunct w:val="0"/>
        <w:bidi w:val="0"/>
        <w:spacing w:before="0" w:after="0" w:line="360" w:lineRule="auto"/>
        <w:ind w:left="0" w:leftChars="0" w:hanging="425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采购需求</w:t>
      </w:r>
    </w:p>
    <w:p>
      <w:pPr>
        <w:pageBreakBefore w:val="0"/>
        <w:wordWrap/>
        <w:topLinePunct w:val="0"/>
        <w:bidi w:val="0"/>
        <w:spacing w:line="360" w:lineRule="auto"/>
        <w:ind w:left="0" w:leftChars="0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482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一、项目背景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北京北站地区是首都重要窗口和交通枢纽，位于北京市西城区西二环路外，西直门外大街北侧。北京北站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高铁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</w:rPr>
        <w:t>开通运行后，为做好进出站旅客的接驳服务，最大程度减少和避免拥堵，为旅客提供更多接驳换乘方式，提升站区服务保障能力，按照2020年《北京市交通委员会关于北京北站设置出租车调度站的通知》（京交函﹝2020﹞29号），租用西环广场地下二层停车场E区设置出租车调度站。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为旅客接驳、站区管理服务提供保障，做好已租赁出租车调度站场地的消防、照明、供水等设备维护，保障出租车调度站场地运行使用，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现需采购该场地的物业服务。</w:t>
      </w:r>
    </w:p>
    <w:p>
      <w:pPr>
        <w:spacing w:line="560" w:lineRule="exact"/>
        <w:ind w:firstLine="482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</w:rPr>
        <w:t>二、服务内容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及要求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1、负责西环广场地下停车场的照明、供水及消防系统及设备维保事宜，保证车场的正常运转；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2、负责本停车场及设施、设备的检查及维修（不含大、中修）保养服务；</w:t>
      </w:r>
    </w:p>
    <w:p>
      <w:pPr>
        <w:spacing w:line="560" w:lineRule="exact"/>
        <w:ind w:left="479" w:leftChars="228" w:firstLine="0" w:firstLineChars="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3、定期检查巡视消防系统及指定设施设备情况，及时发现、排除火灾隐患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4、定期检查巡视防汛设施设备，及时发现、排除隐患；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5、在管理期间，发现事故及事故隐患，必须及时上报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，并采取或建议积极有效的防范治理措施；</w:t>
      </w:r>
    </w:p>
    <w:p>
      <w:pPr>
        <w:spacing w:line="560" w:lineRule="exact"/>
        <w:ind w:firstLine="480" w:firstLineChars="200"/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6、提供必备的物资装备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、接受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对车场管理过程的检查与监督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560" w:lineRule="exact"/>
        <w:ind w:firstLine="482" w:firstLineChars="200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zh-TW" w:eastAsia="zh-TW"/>
        </w:rPr>
      </w:pPr>
      <w:bookmarkStart w:id="0" w:name="_Toc532371038"/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、服务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zh-TW" w:eastAsia="zh-TW"/>
        </w:rPr>
        <w:t>期限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zh-TW" w:eastAsia="zh-TW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zh-TW" w:eastAsia="zh-TW"/>
        </w:rPr>
        <w:t>期限：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2023年1月1日起至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zh-TW" w:eastAsia="zh-TW"/>
        </w:rPr>
        <w:t xml:space="preserve"> 2023年12月 31日（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zh-TW" w:eastAsia="zh-TW"/>
        </w:rPr>
        <w:t>终止日）止。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合同履行期限：自合同签订之日起至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zh-TW" w:eastAsia="zh-TW"/>
        </w:rPr>
        <w:t>2023年12月 31日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止。</w:t>
      </w:r>
    </w:p>
    <w:p>
      <w:pPr>
        <w:spacing w:line="560" w:lineRule="exact"/>
        <w:ind w:firstLine="482" w:firstLineChars="2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4"/>
          <w:szCs w:val="24"/>
          <w:highlight w:val="none"/>
          <w:lang w:val="zh-TW" w:eastAsia="zh-TW" w:bidi="ar-SA"/>
        </w:rPr>
        <w:t>特殊说明：2023年1月1日起至本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项目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4"/>
          <w:szCs w:val="24"/>
          <w:highlight w:val="none"/>
          <w:lang w:val="zh-TW" w:eastAsia="zh-TW" w:bidi="ar-SA"/>
        </w:rPr>
        <w:t>合同签订期间的服务费用，由本次</w:t>
      </w:r>
      <w:r>
        <w:rPr>
          <w:rFonts w:hint="default" w:ascii="Times New Roman" w:hAnsi="Times New Roman" w:cs="Times New Roman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成交供应商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4"/>
          <w:szCs w:val="24"/>
          <w:highlight w:val="none"/>
          <w:lang w:val="zh-TW" w:eastAsia="zh-TW" w:bidi="ar-SA"/>
        </w:rPr>
        <w:t>人向2023年1月1日起至本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项目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2"/>
          <w:sz w:val="24"/>
          <w:szCs w:val="24"/>
          <w:highlight w:val="none"/>
          <w:lang w:val="zh-TW" w:eastAsia="zh-TW" w:bidi="ar-SA"/>
        </w:rPr>
        <w:t>合同签订期间的实际服务单位支付（具体费用结算标准及金额由采购人确定）。</w:t>
      </w:r>
    </w:p>
    <w:p>
      <w:pPr>
        <w:spacing w:line="560" w:lineRule="exact"/>
        <w:ind w:firstLine="482" w:firstLineChars="200"/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资质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1.具有独立承担民事责任的能力；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2.具有良好的商业信誉和健全的财务会计制度；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3.具有履行合同所必需的设备和专业技术能力；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4.有依法缴纳税收和社会保障资金的良好记录；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5.参加政府采购活动近三年内，在经营活动中没有重大违法记录；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6.法律、行政法规规定的其他条件；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7.本项目不允许转包、不接受联合体投标。</w:t>
      </w:r>
    </w:p>
    <w:bookmarkEnd w:id="0"/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.乙方应遵守相关行业法律法规和行业规范。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.因迁址等原因造成服务项目变更由双方协商解决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>
      <w:pPr>
        <w:spacing w:line="560" w:lineRule="exact"/>
        <w:ind w:firstLine="482" w:firstLineChars="200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要求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1.物业项目经理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相关管理经验丰富，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具备物业管理相关职称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证书；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2.工程维修人员要求：具有一定专业知识，2年以上相关工作经验，人员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团队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专业配备合理。 </w:t>
      </w:r>
    </w:p>
    <w:p>
      <w:pPr>
        <w:pStyle w:val="3"/>
        <w:ind w:firstLine="482" w:firstLineChars="200"/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本项目采购标的属于《工业和信息化部、国家统计局、国家发展和改革委员会、财政部关于印发中小企业划型标准规定的通知》（工信部联企业[2011]300 号）中的（十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val="en-US" w:eastAsia="zh-CN"/>
        </w:rPr>
        <w:t>物业管理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3"/>
        <w:rPr>
          <w:rFonts w:hint="default" w:ascii="Times New Roman" w:hAnsi="Times New Roman" w:eastAsia="宋体" w:cs="Times New Roman"/>
          <w:b/>
          <w:bCs/>
          <w:sz w:val="24"/>
          <w:highlight w:val="none"/>
          <w:lang w:val="en-US" w:eastAsia="zh-CN"/>
        </w:rPr>
      </w:pPr>
    </w:p>
    <w:p>
      <w:pPr>
        <w:pStyle w:val="3"/>
        <w:ind w:firstLine="482" w:firstLineChars="200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highlight w:val="none"/>
          <w:lang w:val="en-US" w:eastAsia="zh-CN"/>
        </w:rPr>
        <w:t>注：本项目非专门面向中小企业采购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2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143500E7"/>
    <w:rsid w:val="143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4">
    <w:name w:val="A正文小四"/>
    <w:basedOn w:val="1"/>
    <w:qFormat/>
    <w:uiPriority w:val="0"/>
    <w:pPr>
      <w:spacing w:before="96" w:after="96"/>
      <w:ind w:firstLine="200" w:firstLineChars="200"/>
    </w:pPr>
    <w:rPr>
      <w:rFonts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2023-11-13T07:47:00Z</dcterms:created>
  <dc:creator>小杜儿～</dc:creator>
  <cp:lastModifiedBy>小杜儿～</cp:lastModifiedBy>
  <dcterms:modified xsi:type="dcterms:W3CDTF">2023-11-13T07:48:01Z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16000A1721614C1BB3084B0CE7A25088_11</vt:lpwstr>
  </property>
</Properties>
</file>