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5C13A">
      <w:pPr>
        <w:spacing w:line="360" w:lineRule="auto"/>
        <w:jc w:val="center"/>
        <w:rPr>
          <w:rFonts w:ascii="Times New Roman" w:hAnsi="Times New Roman" w:eastAsia="宋体" w:cs="Times New Roman"/>
          <w:b/>
          <w:bCs/>
          <w:color w:val="000000"/>
          <w:kern w:val="0"/>
          <w:sz w:val="24"/>
          <w:szCs w:val="24"/>
          <w:highlight w:val="yellow"/>
          <w:shd w:val="clear" w:color="auto" w:fill="FFFFFF"/>
        </w:rPr>
      </w:pPr>
      <w:bookmarkStart w:id="34" w:name="_GoBack"/>
      <w:r>
        <w:rPr>
          <w:rFonts w:hint="eastAsia" w:ascii="Times New Roman" w:hAnsi="Times New Roman" w:eastAsia="宋体" w:cs="Times New Roman"/>
          <w:b/>
          <w:bCs/>
          <w:sz w:val="36"/>
          <w:szCs w:val="36"/>
          <w:lang w:eastAsia="zh-CN"/>
        </w:rPr>
        <w:t>机场治理新格局下《北京市民用运输机场管理办法》、《北京市民用机场净空保护区域管理若干规定》修订研究</w:t>
      </w:r>
      <w:bookmarkEnd w:id="34"/>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01B1B96E">
      <w:pPr>
        <w:rPr>
          <w:rFonts w:ascii="Times New Roman" w:hAnsi="Times New Roman" w:eastAsia="宋体" w:cs="Times New Roman"/>
          <w:b/>
          <w:bCs/>
          <w:color w:val="000000"/>
          <w:kern w:val="0"/>
          <w:sz w:val="24"/>
          <w:szCs w:val="24"/>
          <w:shd w:val="clear" w:color="auto" w:fill="FFFFFF"/>
        </w:rPr>
      </w:pPr>
    </w:p>
    <w:p w14:paraId="248B0D66">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7D7FB3BF">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19"/>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45C5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gridSpan w:val="5"/>
          </w:tcPr>
          <w:p w14:paraId="043FBD30">
            <w:pPr>
              <w:pStyle w:val="3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2A2A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7913CF07">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0099AA6D">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0A90D893">
            <w:pPr>
              <w:pStyle w:val="3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140C661B">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456E8C43">
            <w:pPr>
              <w:pStyle w:val="3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5F22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053BF179">
            <w:pPr>
              <w:pStyle w:val="34"/>
              <w:jc w:val="center"/>
              <w:rPr>
                <w:rFonts w:ascii="Times New Roman" w:hAnsi="Times New Roman" w:eastAsia="宋体" w:cs="Times New Roman"/>
                <w:color w:val="auto"/>
                <w:sz w:val="24"/>
                <w:szCs w:val="24"/>
              </w:rPr>
            </w:pPr>
          </w:p>
        </w:tc>
        <w:tc>
          <w:tcPr>
            <w:tcW w:w="736" w:type="pct"/>
            <w:vAlign w:val="center"/>
          </w:tcPr>
          <w:p w14:paraId="2183A7D4">
            <w:pPr>
              <w:pStyle w:val="34"/>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0806DF13">
            <w:pPr>
              <w:pStyle w:val="34"/>
              <w:jc w:val="center"/>
              <w:rPr>
                <w:rFonts w:ascii="Times New Roman" w:hAnsi="Times New Roman" w:eastAsia="宋体" w:cs="Times New Roman"/>
                <w:color w:val="auto"/>
                <w:sz w:val="24"/>
                <w:szCs w:val="24"/>
              </w:rPr>
            </w:pPr>
          </w:p>
        </w:tc>
        <w:tc>
          <w:tcPr>
            <w:tcW w:w="1033" w:type="pct"/>
            <w:vAlign w:val="center"/>
          </w:tcPr>
          <w:p w14:paraId="391D81B8">
            <w:pPr>
              <w:pStyle w:val="34"/>
              <w:jc w:val="center"/>
              <w:rPr>
                <w:rFonts w:ascii="Times New Roman" w:hAnsi="Times New Roman" w:eastAsia="宋体" w:cs="Times New Roman"/>
                <w:color w:val="auto"/>
                <w:sz w:val="24"/>
                <w:szCs w:val="24"/>
              </w:rPr>
            </w:pPr>
          </w:p>
        </w:tc>
        <w:tc>
          <w:tcPr>
            <w:tcW w:w="1277" w:type="pct"/>
            <w:vAlign w:val="center"/>
          </w:tcPr>
          <w:p w14:paraId="5360421E">
            <w:pPr>
              <w:pStyle w:val="34"/>
              <w:jc w:val="center"/>
              <w:rPr>
                <w:rFonts w:ascii="Times New Roman" w:hAnsi="Times New Roman" w:eastAsia="宋体" w:cs="Times New Roman"/>
                <w:color w:val="auto"/>
                <w:sz w:val="24"/>
                <w:szCs w:val="24"/>
              </w:rPr>
            </w:pPr>
          </w:p>
        </w:tc>
      </w:tr>
      <w:tr w14:paraId="6FE5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221D1C4E">
            <w:pPr>
              <w:pStyle w:val="34"/>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0CD0DA5F">
      <w:pPr>
        <w:pStyle w:val="34"/>
        <w:rPr>
          <w:rFonts w:ascii="Times New Roman" w:hAnsi="Times New Roman" w:eastAsia="宋体" w:cs="Times New Roman"/>
          <w:sz w:val="24"/>
          <w:szCs w:val="24"/>
        </w:rPr>
      </w:pPr>
    </w:p>
    <w:p w14:paraId="4F261DA7">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w:t>
      </w:r>
    </w:p>
    <w:p w14:paraId="41A88A5E">
      <w:pPr>
        <w:pStyle w:val="3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51B7FA37">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79F175D3">
      <w:pPr>
        <w:pStyle w:val="9"/>
        <w:rPr>
          <w:rFonts w:hint="eastAsia" w:eastAsia="宋体"/>
          <w:lang w:val="en-US" w:eastAsia="zh-CN"/>
        </w:rPr>
      </w:pPr>
    </w:p>
    <w:p w14:paraId="3C1A9DCF">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7C0BFD3B">
      <w:pPr>
        <w:pStyle w:val="3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200387C1">
      <w:pPr>
        <w:pStyle w:val="34"/>
        <w:rPr>
          <w:rFonts w:hint="eastAsia" w:ascii="Times New Roman" w:hAnsi="Times New Roman" w:eastAsia="宋体" w:cs="Times New Roman"/>
          <w:b/>
          <w:bCs/>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w:t>
      </w:r>
      <w:bookmarkEnd w:id="0"/>
      <w:r>
        <w:rPr>
          <w:rFonts w:hint="eastAsia" w:ascii="Times New Roman" w:hAnsi="Times New Roman" w:eastAsia="宋体" w:cs="Times New Roman"/>
          <w:b/>
          <w:bCs/>
          <w:color w:val="auto"/>
          <w:sz w:val="24"/>
          <w:szCs w:val="24"/>
        </w:rPr>
        <w:t>注：供应商为企业（包括合伙企业）的，应提供有效的“营业执照”；</w:t>
      </w:r>
    </w:p>
    <w:p w14:paraId="11E5DC48">
      <w:pPr>
        <w:pStyle w:val="34"/>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供应商为事业单位的，应提供有效的“事业单位法人证书”；</w:t>
      </w:r>
    </w:p>
    <w:p w14:paraId="4094C684">
      <w:pPr>
        <w:pStyle w:val="34"/>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供应商是非企业机构的，应提供有效的“执业许可证”、“登记证书”等证明文件；</w:t>
      </w:r>
    </w:p>
    <w:p w14:paraId="02F9F3BB">
      <w:pPr>
        <w:rPr>
          <w:rFonts w:ascii="Times New Roman" w:hAnsi="Times New Roman" w:eastAsia="宋体" w:cs="Times New Roman"/>
          <w:sz w:val="24"/>
        </w:rPr>
      </w:pPr>
    </w:p>
    <w:p w14:paraId="24AD5F12">
      <w:pPr>
        <w:rPr>
          <w:rFonts w:ascii="Times New Roman" w:hAnsi="Times New Roman" w:eastAsia="宋体" w:cs="Times New Roman"/>
          <w:sz w:val="24"/>
        </w:rPr>
      </w:pPr>
    </w:p>
    <w:p w14:paraId="3C1E465B">
      <w:pPr>
        <w:rPr>
          <w:rFonts w:ascii="Times New Roman" w:hAnsi="Times New Roman" w:eastAsia="宋体" w:cs="Times New Roman"/>
          <w:sz w:val="24"/>
        </w:rPr>
      </w:pPr>
    </w:p>
    <w:p w14:paraId="6F224AA9">
      <w:pPr>
        <w:rPr>
          <w:rFonts w:ascii="Times New Roman" w:hAnsi="Times New Roman" w:eastAsia="宋体" w:cs="Times New Roman"/>
          <w:sz w:val="24"/>
        </w:rPr>
      </w:pPr>
    </w:p>
    <w:p w14:paraId="2C640D1A">
      <w:pPr>
        <w:rPr>
          <w:rFonts w:ascii="Times New Roman" w:hAnsi="Times New Roman" w:eastAsia="宋体" w:cs="Times New Roman"/>
          <w:sz w:val="24"/>
        </w:rPr>
      </w:pPr>
    </w:p>
    <w:p w14:paraId="3635EAE3">
      <w:pPr>
        <w:pStyle w:val="2"/>
        <w:rPr>
          <w:rFonts w:ascii="Times New Roman" w:hAnsi="Times New Roman" w:eastAsia="宋体" w:cs="Times New Roman"/>
          <w:sz w:val="24"/>
          <w:szCs w:val="24"/>
        </w:rPr>
      </w:pPr>
      <w:bookmarkStart w:id="1" w:name="_Toc421622105"/>
      <w:bookmarkStart w:id="2" w:name="_Toc495677503"/>
      <w:r>
        <w:rPr>
          <w:rFonts w:ascii="Times New Roman" w:hAnsi="Times New Roman" w:eastAsia="宋体" w:cs="Times New Roman"/>
          <w:sz w:val="24"/>
        </w:rPr>
        <w:br w:type="page"/>
      </w:r>
      <w:bookmarkStart w:id="3" w:name="_Toc4718"/>
      <w:bookmarkStart w:id="4" w:name="_Toc37675382"/>
      <w:bookmarkStart w:id="5" w:name="_Toc12784"/>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5170EC2A">
      <w:pPr>
        <w:pStyle w:val="10"/>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288D91C4">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430537B5">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74B63A23">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1CD6E69C">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2092DC3D">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1AF9C091">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3EA425FD">
      <w:pPr>
        <w:pStyle w:val="10"/>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3DD7FA21">
      <w:pPr>
        <w:pStyle w:val="10"/>
        <w:spacing w:beforeLines="60" w:line="300" w:lineRule="auto"/>
        <w:ind w:firstLine="210"/>
        <w:rPr>
          <w:rFonts w:ascii="Times New Roman" w:hAnsi="Times New Roman" w:eastAsia="宋体" w:cs="Times New Roman"/>
          <w:sz w:val="24"/>
          <w:szCs w:val="24"/>
        </w:rPr>
      </w:pPr>
    </w:p>
    <w:p w14:paraId="60153451">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5CDFEA21">
      <w:pPr>
        <w:pStyle w:val="10"/>
        <w:tabs>
          <w:tab w:val="left" w:pos="5580"/>
        </w:tabs>
        <w:spacing w:line="300" w:lineRule="auto"/>
        <w:ind w:firstLine="210"/>
        <w:rPr>
          <w:rFonts w:ascii="Times New Roman" w:hAnsi="Times New Roman" w:eastAsia="宋体" w:cs="Times New Roman"/>
          <w:sz w:val="24"/>
          <w:szCs w:val="24"/>
        </w:rPr>
      </w:pPr>
    </w:p>
    <w:p w14:paraId="024879FF">
      <w:pPr>
        <w:pStyle w:val="10"/>
        <w:tabs>
          <w:tab w:val="left" w:pos="5580"/>
        </w:tabs>
        <w:spacing w:line="300" w:lineRule="auto"/>
        <w:ind w:firstLine="210"/>
        <w:rPr>
          <w:rFonts w:ascii="Times New Roman" w:hAnsi="Times New Roman" w:eastAsia="宋体" w:cs="Times New Roman"/>
          <w:sz w:val="24"/>
          <w:szCs w:val="24"/>
        </w:rPr>
      </w:pPr>
    </w:p>
    <w:p w14:paraId="64D4DD74">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78AA1898">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17D6991C">
      <w:pPr>
        <w:pStyle w:val="10"/>
        <w:spacing w:beforeLines="86" w:line="300" w:lineRule="auto"/>
        <w:ind w:firstLine="480" w:firstLineChars="200"/>
        <w:rPr>
          <w:rFonts w:ascii="Times New Roman" w:hAnsi="Times New Roman" w:eastAsia="宋体" w:cs="Times New Roman"/>
          <w:sz w:val="24"/>
          <w:szCs w:val="24"/>
        </w:rPr>
      </w:pPr>
    </w:p>
    <w:p w14:paraId="52037A9F">
      <w:pPr>
        <w:pStyle w:val="35"/>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036F62D8">
      <w:pPr>
        <w:widowControl/>
        <w:jc w:val="left"/>
        <w:rPr>
          <w:rFonts w:ascii="Times New Roman" w:hAnsi="Times New Roman" w:eastAsia="宋体" w:cs="Times New Roman"/>
          <w:b/>
          <w:bCs/>
          <w:kern w:val="0"/>
          <w:sz w:val="24"/>
          <w:szCs w:val="24"/>
        </w:rPr>
      </w:pPr>
    </w:p>
    <w:p w14:paraId="040669E6">
      <w:pPr>
        <w:pStyle w:val="2"/>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14596"/>
      <w:bookmarkStart w:id="7" w:name="_Toc37675383"/>
      <w:bookmarkStart w:id="8" w:name="_Toc29548"/>
      <w:r>
        <w:rPr>
          <w:rFonts w:ascii="Times New Roman" w:hAnsi="Times New Roman" w:eastAsia="宋体" w:cs="Times New Roman"/>
          <w:sz w:val="24"/>
          <w:szCs w:val="24"/>
        </w:rPr>
        <w:t>附件 3  法定代表人/负责人授权书（格式，原件）</w:t>
      </w:r>
      <w:bookmarkEnd w:id="6"/>
      <w:bookmarkEnd w:id="7"/>
      <w:bookmarkEnd w:id="8"/>
    </w:p>
    <w:p w14:paraId="11671860">
      <w:pPr>
        <w:pStyle w:val="10"/>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7A0CB355">
      <w:pPr>
        <w:pStyle w:val="10"/>
        <w:spacing w:beforeLines="86" w:line="300" w:lineRule="auto"/>
        <w:rPr>
          <w:rFonts w:ascii="Times New Roman" w:hAnsi="Times New Roman" w:eastAsia="宋体" w:cs="Times New Roman"/>
          <w:sz w:val="24"/>
          <w:szCs w:val="24"/>
        </w:rPr>
      </w:pPr>
    </w:p>
    <w:p w14:paraId="1AA9B784">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3270A11A">
      <w:pPr>
        <w:pStyle w:val="10"/>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lang w:eastAsia="zh-CN"/>
        </w:rPr>
        <w:t>机场治理新格局下《北京市民用运输机场管理办法》、《北京市民用机场净空保护区域管理若干规定》修订研究</w:t>
      </w:r>
      <w:r>
        <w:rPr>
          <w:rFonts w:ascii="Times New Roman" w:hAnsi="Times New Roman" w:eastAsia="宋体" w:cs="Times New Roman"/>
          <w:sz w:val="24"/>
          <w:szCs w:val="24"/>
        </w:rPr>
        <w:t>的比选，以本公司名义处理一切与之有关的事务。　　</w:t>
      </w:r>
    </w:p>
    <w:p w14:paraId="2A5B24A0">
      <w:pPr>
        <w:pStyle w:val="1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414D806A">
      <w:pPr>
        <w:pStyle w:val="10"/>
        <w:spacing w:beforeLines="60" w:line="360" w:lineRule="auto"/>
        <w:rPr>
          <w:rFonts w:ascii="Times New Roman" w:hAnsi="Times New Roman" w:eastAsia="宋体" w:cs="Times New Roman"/>
          <w:sz w:val="24"/>
          <w:szCs w:val="24"/>
        </w:rPr>
      </w:pPr>
    </w:p>
    <w:p w14:paraId="690DBB87">
      <w:pPr>
        <w:pStyle w:val="10"/>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65648F03">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0CBD7D74">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0D401A01">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0B1B55C3">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60F45C44">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237B1F0F">
      <w:pPr>
        <w:pStyle w:val="10"/>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76FC42A1">
      <w:pPr>
        <w:pStyle w:val="10"/>
        <w:spacing w:beforeLines="60" w:line="300" w:lineRule="auto"/>
        <w:rPr>
          <w:rFonts w:ascii="Times New Roman" w:hAnsi="Times New Roman" w:eastAsia="宋体" w:cs="Times New Roman"/>
          <w:sz w:val="24"/>
          <w:szCs w:val="24"/>
        </w:rPr>
      </w:pPr>
    </w:p>
    <w:p w14:paraId="0B6FF52A">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14:paraId="23DF26D1">
      <w:pPr>
        <w:spacing w:line="360" w:lineRule="auto"/>
        <w:rPr>
          <w:rFonts w:hint="eastAsia"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454425E7">
      <w:pPr>
        <w:pStyle w:val="37"/>
        <w:keepNext w:val="0"/>
        <w:keepLines w:val="0"/>
        <w:pageBreakBefore w:val="0"/>
        <w:widowControl/>
        <w:numPr>
          <w:ilvl w:val="0"/>
          <w:numId w:val="2"/>
        </w:numPr>
        <w:kinsoku/>
        <w:wordWrap/>
        <w:overflowPunct/>
        <w:topLinePunct w:val="0"/>
        <w:autoSpaceDE w:val="0"/>
        <w:autoSpaceDN w:val="0"/>
        <w:bidi w:val="0"/>
        <w:adjustRightInd/>
        <w:snapToGrid w:val="0"/>
        <w:spacing w:line="560" w:lineRule="exact"/>
        <w:ind w:left="0" w:firstLine="482" w:firstLineChars="200"/>
        <w:textAlignment w:val="auto"/>
        <w:rPr>
          <w:rFonts w:hint="eastAsia" w:ascii="宋体" w:hAnsi="宋体" w:eastAsia="宋体" w:cs="宋体"/>
          <w:b/>
          <w:bCs/>
          <w:strike w:val="0"/>
          <w:dstrike w:val="0"/>
          <w:color w:val="auto"/>
          <w:kern w:val="0"/>
          <w:sz w:val="24"/>
          <w:szCs w:val="24"/>
          <w:shd w:val="clear" w:color="auto" w:fill="FFFFFF"/>
          <w:lang w:val="en-US" w:eastAsia="zh-CN" w:bidi="ar-SA"/>
        </w:rPr>
      </w:pPr>
      <w:r>
        <w:rPr>
          <w:rFonts w:hint="eastAsia" w:ascii="宋体" w:hAnsi="宋体" w:eastAsia="宋体" w:cs="宋体"/>
          <w:b/>
          <w:bCs/>
          <w:strike w:val="0"/>
          <w:dstrike w:val="0"/>
          <w:color w:val="auto"/>
          <w:kern w:val="0"/>
          <w:sz w:val="24"/>
          <w:szCs w:val="24"/>
          <w:shd w:val="clear" w:color="auto" w:fill="FFFFFF"/>
          <w:lang w:val="en-US" w:eastAsia="zh-CN" w:bidi="ar-SA"/>
        </w:rPr>
        <w:t>资格要求</w:t>
      </w:r>
    </w:p>
    <w:p w14:paraId="24CED872">
      <w:pPr>
        <w:pStyle w:val="25"/>
        <w:numPr>
          <w:ilvl w:val="1"/>
          <w:numId w:val="3"/>
        </w:numPr>
        <w:spacing w:line="360" w:lineRule="auto"/>
        <w:ind w:firstLineChars="0"/>
        <w:outlineLvl w:val="0"/>
        <w:rPr>
          <w:rFonts w:hint="eastAsia" w:ascii="宋体" w:hAnsi="宋体" w:eastAsia="宋体" w:cs="宋体"/>
          <w:sz w:val="24"/>
          <w:szCs w:val="24"/>
          <w:lang w:val="zh-CN"/>
        </w:rPr>
      </w:pPr>
      <w:bookmarkStart w:id="10" w:name="_Toc1903"/>
      <w:bookmarkStart w:id="11" w:name="_Toc1152"/>
      <w:bookmarkStart w:id="12" w:name="_Toc30798"/>
      <w:r>
        <w:rPr>
          <w:rFonts w:hint="eastAsia" w:ascii="宋体" w:hAnsi="宋体" w:eastAsia="宋体" w:cs="宋体"/>
          <w:sz w:val="24"/>
          <w:szCs w:val="24"/>
          <w:lang w:val="zh-CN"/>
        </w:rPr>
        <w:t>满足《中华人民共和国政府采购法》第二十二条规定。</w:t>
      </w:r>
      <w:bookmarkEnd w:id="10"/>
      <w:bookmarkEnd w:id="11"/>
      <w:bookmarkEnd w:id="12"/>
    </w:p>
    <w:p w14:paraId="2E5242D7">
      <w:pPr>
        <w:pStyle w:val="25"/>
        <w:numPr>
          <w:ilvl w:val="1"/>
          <w:numId w:val="3"/>
        </w:numPr>
        <w:spacing w:line="360" w:lineRule="auto"/>
        <w:ind w:firstLineChars="0"/>
        <w:outlineLvl w:val="0"/>
        <w:rPr>
          <w:rFonts w:hint="eastAsia" w:ascii="宋体" w:hAnsi="宋体" w:eastAsia="宋体" w:cs="宋体"/>
          <w:sz w:val="24"/>
          <w:szCs w:val="24"/>
          <w:lang w:val="zh-CN"/>
        </w:rPr>
      </w:pPr>
      <w:bookmarkStart w:id="13" w:name="_Toc30289"/>
      <w:bookmarkStart w:id="14" w:name="_Toc19521"/>
      <w:bookmarkStart w:id="15" w:name="_Toc6174"/>
      <w:r>
        <w:rPr>
          <w:rFonts w:hint="eastAsia" w:ascii="宋体" w:hAnsi="宋体" w:eastAsia="宋体" w:cs="宋体"/>
          <w:sz w:val="24"/>
          <w:szCs w:val="24"/>
          <w:lang w:val="zh-CN"/>
        </w:rPr>
        <w:t>具有独立法人资格或具有独立承担民事责任的能力的其它组织。</w:t>
      </w:r>
      <w:bookmarkEnd w:id="13"/>
      <w:bookmarkEnd w:id="14"/>
      <w:bookmarkEnd w:id="15"/>
    </w:p>
    <w:p w14:paraId="24DAF924">
      <w:pPr>
        <w:pStyle w:val="25"/>
        <w:numPr>
          <w:ilvl w:val="1"/>
          <w:numId w:val="3"/>
        </w:numPr>
        <w:spacing w:line="360" w:lineRule="auto"/>
        <w:ind w:firstLineChars="0"/>
        <w:outlineLvl w:val="0"/>
        <w:rPr>
          <w:rFonts w:hint="eastAsia" w:ascii="宋体" w:hAnsi="宋体" w:eastAsia="宋体" w:cs="宋体"/>
          <w:sz w:val="24"/>
          <w:szCs w:val="24"/>
          <w:lang w:val="zh-CN"/>
        </w:rPr>
      </w:pPr>
      <w:bookmarkStart w:id="16" w:name="_Toc31344"/>
      <w:bookmarkStart w:id="17" w:name="_Toc29481"/>
      <w:bookmarkStart w:id="18" w:name="_Toc8310"/>
      <w:r>
        <w:rPr>
          <w:rFonts w:hint="eastAsia" w:ascii="宋体" w:hAnsi="宋体" w:eastAsia="宋体" w:cs="宋体"/>
          <w:sz w:val="24"/>
          <w:szCs w:val="24"/>
          <w:lang w:val="zh-CN"/>
        </w:rPr>
        <w:t>投标人参加本次采购活动前3年内在经营活动中没有重大违法记录以及没有受到行政处罚。</w:t>
      </w:r>
      <w:bookmarkEnd w:id="16"/>
      <w:bookmarkEnd w:id="17"/>
      <w:bookmarkEnd w:id="18"/>
    </w:p>
    <w:p w14:paraId="7F94950B">
      <w:pPr>
        <w:pStyle w:val="25"/>
        <w:numPr>
          <w:ilvl w:val="1"/>
          <w:numId w:val="3"/>
        </w:numPr>
        <w:spacing w:line="360" w:lineRule="auto"/>
        <w:ind w:firstLineChars="0"/>
        <w:outlineLvl w:val="0"/>
        <w:rPr>
          <w:rFonts w:hint="eastAsia" w:ascii="宋体" w:hAnsi="宋体" w:eastAsia="宋体" w:cs="宋体"/>
          <w:sz w:val="24"/>
          <w:szCs w:val="24"/>
          <w:lang w:val="zh-CN"/>
        </w:rPr>
      </w:pPr>
      <w:bookmarkStart w:id="19" w:name="_Toc30297"/>
      <w:bookmarkStart w:id="20" w:name="_Toc18205"/>
      <w:bookmarkStart w:id="21" w:name="_Toc1518"/>
      <w:r>
        <w:rPr>
          <w:rFonts w:hint="eastAsia" w:ascii="宋体" w:hAnsi="宋体" w:eastAsia="宋体" w:cs="宋体"/>
          <w:sz w:val="24"/>
          <w:szCs w:val="24"/>
          <w:lang w:val="zh-CN"/>
        </w:rPr>
        <w:t>参与本项目</w:t>
      </w:r>
      <w:r>
        <w:rPr>
          <w:rFonts w:hint="eastAsia" w:ascii="宋体" w:hAnsi="宋体" w:eastAsia="宋体" w:cs="宋体"/>
          <w:sz w:val="24"/>
          <w:szCs w:val="24"/>
        </w:rPr>
        <w:t>比选</w:t>
      </w:r>
      <w:r>
        <w:rPr>
          <w:rFonts w:hint="eastAsia" w:ascii="宋体" w:hAnsi="宋体" w:eastAsia="宋体" w:cs="宋体"/>
          <w:sz w:val="24"/>
          <w:szCs w:val="24"/>
          <w:lang w:val="zh-CN"/>
        </w:rPr>
        <w:t>活动时不存在被有关部门禁止参与政府采购活动且在有效期内的情况。</w:t>
      </w:r>
      <w:bookmarkEnd w:id="19"/>
      <w:bookmarkEnd w:id="20"/>
      <w:bookmarkEnd w:id="21"/>
    </w:p>
    <w:p w14:paraId="0226C554">
      <w:pPr>
        <w:pStyle w:val="25"/>
        <w:numPr>
          <w:ilvl w:val="1"/>
          <w:numId w:val="3"/>
        </w:numPr>
        <w:spacing w:line="360" w:lineRule="auto"/>
        <w:ind w:firstLineChars="0"/>
        <w:outlineLvl w:val="0"/>
        <w:rPr>
          <w:rFonts w:hint="eastAsia" w:ascii="宋体" w:hAnsi="宋体" w:eastAsia="宋体" w:cs="宋体"/>
          <w:sz w:val="24"/>
          <w:szCs w:val="24"/>
          <w:lang w:val="zh-CN"/>
        </w:rPr>
      </w:pPr>
      <w:bookmarkStart w:id="22" w:name="_Toc28423"/>
      <w:bookmarkStart w:id="23" w:name="_Toc27636"/>
      <w:bookmarkStart w:id="24" w:name="_Toc16480"/>
      <w:r>
        <w:rPr>
          <w:rFonts w:hint="eastAsia" w:ascii="宋体" w:hAnsi="宋体" w:eastAsia="宋体" w:cs="宋体"/>
          <w:sz w:val="24"/>
          <w:szCs w:val="24"/>
          <w:lang w:val="zh-CN"/>
        </w:rPr>
        <w:t>通过“信用中国”网站（www.creditchina.gov.cn），列入失信被执行人、重大税收违法案件当事人的供应商，以及在中国政府采购网（www.ccgp.gov.cn）网站被列入政府采购严重违法失信行为记录名单的供应商，没有资格参加本项目的比选。</w:t>
      </w:r>
      <w:bookmarkEnd w:id="22"/>
      <w:bookmarkEnd w:id="23"/>
      <w:bookmarkEnd w:id="24"/>
    </w:p>
    <w:p w14:paraId="246CE496">
      <w:pPr>
        <w:pStyle w:val="25"/>
        <w:numPr>
          <w:ilvl w:val="1"/>
          <w:numId w:val="3"/>
        </w:numPr>
        <w:spacing w:line="360" w:lineRule="auto"/>
        <w:ind w:firstLineChars="0"/>
        <w:outlineLvl w:val="0"/>
        <w:rPr>
          <w:rFonts w:hint="eastAsia" w:ascii="宋体" w:hAnsi="宋体" w:eastAsia="宋体" w:cs="宋体"/>
          <w:sz w:val="24"/>
          <w:szCs w:val="24"/>
          <w:lang w:val="zh-CN"/>
        </w:rPr>
      </w:pPr>
      <w:bookmarkStart w:id="25" w:name="_Toc21148"/>
      <w:bookmarkStart w:id="26" w:name="_Toc30095"/>
      <w:bookmarkStart w:id="27" w:name="_Toc23925"/>
      <w:r>
        <w:rPr>
          <w:rFonts w:hint="eastAsia" w:ascii="宋体" w:hAnsi="宋体" w:eastAsia="宋体" w:cs="宋体"/>
          <w:sz w:val="24"/>
          <w:szCs w:val="24"/>
          <w:lang w:val="zh-CN"/>
        </w:rPr>
        <w:t>单位负责人为同一人或者存在直接控股、管理关系的不同供应商，不得参加同一合同项下的政府采购活动；除单一来源采购，为采购项目提供整体设计、规范编制或者项目管理、监理、检测等服务的供应商，不得再参加该采购项目的其他采购活动。</w:t>
      </w:r>
      <w:bookmarkEnd w:id="25"/>
      <w:bookmarkEnd w:id="26"/>
      <w:bookmarkEnd w:id="27"/>
    </w:p>
    <w:p w14:paraId="008A0366">
      <w:pPr>
        <w:pStyle w:val="25"/>
        <w:numPr>
          <w:ilvl w:val="1"/>
          <w:numId w:val="3"/>
        </w:numPr>
        <w:spacing w:line="360" w:lineRule="auto"/>
        <w:ind w:firstLineChars="0"/>
        <w:outlineLvl w:val="0"/>
        <w:rPr>
          <w:rFonts w:hint="eastAsia" w:ascii="宋体" w:hAnsi="宋体" w:eastAsia="宋体" w:cs="宋体"/>
          <w:sz w:val="24"/>
          <w:szCs w:val="24"/>
          <w:lang w:val="zh-CN"/>
        </w:rPr>
      </w:pPr>
      <w:bookmarkStart w:id="28" w:name="_Toc26156"/>
      <w:bookmarkStart w:id="29" w:name="_Toc29412"/>
      <w:bookmarkStart w:id="30" w:name="_Toc18706"/>
      <w:r>
        <w:rPr>
          <w:rFonts w:hint="eastAsia" w:ascii="宋体" w:hAnsi="宋体" w:eastAsia="宋体" w:cs="宋体"/>
          <w:sz w:val="24"/>
          <w:szCs w:val="24"/>
          <w:lang w:val="zh-CN"/>
        </w:rPr>
        <w:t>不允许转包、分包。</w:t>
      </w:r>
      <w:bookmarkEnd w:id="28"/>
      <w:bookmarkEnd w:id="29"/>
      <w:bookmarkEnd w:id="30"/>
    </w:p>
    <w:p w14:paraId="10E41B8C">
      <w:pPr>
        <w:pStyle w:val="25"/>
        <w:numPr>
          <w:ilvl w:val="1"/>
          <w:numId w:val="3"/>
        </w:numPr>
        <w:spacing w:line="360" w:lineRule="auto"/>
        <w:ind w:firstLineChars="0"/>
        <w:outlineLvl w:val="0"/>
        <w:rPr>
          <w:rFonts w:hint="eastAsia" w:ascii="宋体" w:hAnsi="宋体" w:eastAsia="宋体" w:cs="宋体"/>
          <w:strike w:val="0"/>
          <w:dstrike w:val="0"/>
          <w:color w:val="auto"/>
          <w:kern w:val="0"/>
          <w:sz w:val="24"/>
          <w:szCs w:val="24"/>
          <w:shd w:val="clear" w:color="auto" w:fill="FFFFFF"/>
          <w:lang w:val="en-US" w:eastAsia="zh-CN" w:bidi="ar-SA"/>
        </w:rPr>
      </w:pPr>
      <w:bookmarkStart w:id="31" w:name="_Toc14018"/>
      <w:bookmarkStart w:id="32" w:name="_Toc17357"/>
      <w:bookmarkStart w:id="33" w:name="_Toc10365"/>
      <w:r>
        <w:rPr>
          <w:rFonts w:hint="eastAsia" w:ascii="宋体" w:hAnsi="宋体" w:eastAsia="宋体" w:cs="宋体"/>
          <w:sz w:val="24"/>
          <w:szCs w:val="24"/>
          <w:lang w:val="zh-CN"/>
        </w:rPr>
        <w:t>本项目不接受联合体</w:t>
      </w:r>
      <w:r>
        <w:rPr>
          <w:rFonts w:hint="eastAsia" w:ascii="宋体" w:hAnsi="宋体" w:eastAsia="宋体" w:cs="宋体"/>
          <w:sz w:val="24"/>
          <w:szCs w:val="24"/>
        </w:rPr>
        <w:t>参与。</w:t>
      </w:r>
      <w:bookmarkEnd w:id="31"/>
      <w:bookmarkEnd w:id="32"/>
      <w:bookmarkEnd w:id="33"/>
    </w:p>
    <w:p w14:paraId="180DC9D6">
      <w:pPr>
        <w:pStyle w:val="25"/>
        <w:numPr>
          <w:numId w:val="0"/>
        </w:numPr>
        <w:spacing w:line="360" w:lineRule="auto"/>
        <w:ind w:leftChars="0"/>
        <w:outlineLvl w:val="0"/>
        <w:rPr>
          <w:rFonts w:hint="eastAsia" w:ascii="宋体" w:hAnsi="宋体" w:eastAsia="宋体" w:cs="宋体"/>
          <w:sz w:val="24"/>
          <w:szCs w:val="24"/>
          <w:lang w:val="en-US" w:eastAsia="zh-CN"/>
        </w:rPr>
      </w:pPr>
    </w:p>
    <w:p w14:paraId="54F08490">
      <w:pPr>
        <w:pStyle w:val="25"/>
        <w:numPr>
          <w:ilvl w:val="0"/>
          <w:numId w:val="2"/>
        </w:numPr>
        <w:spacing w:line="360" w:lineRule="auto"/>
        <w:ind w:left="0" w:leftChars="0" w:firstLine="482" w:firstLineChars="200"/>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采购需求</w:t>
      </w:r>
    </w:p>
    <w:p w14:paraId="7471708B">
      <w:pPr>
        <w:pStyle w:val="34"/>
        <w:numPr>
          <w:ilvl w:val="0"/>
          <w:numId w:val="4"/>
        </w:numPr>
        <w:spacing w:line="560" w:lineRule="exact"/>
        <w:ind w:left="0" w:leftChars="0" w:firstLine="482" w:firstLineChars="200"/>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rPr>
        <w:t>项目背景</w:t>
      </w:r>
    </w:p>
    <w:p w14:paraId="3EF76AB3">
      <w:pPr>
        <w:spacing w:line="560" w:lineRule="exact"/>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为支撑北京市重点站区管理委员会（以下简称管委会）更好对首都机场、大兴机场发挥协调管理作用，协助对近几年北京市政府管理首都机场与大兴机场的现状、落实《北京市民用运输机场管理办法》与《北京市民用机场净空保护区域管理若干规定》的情况开展全面评估，总结成效与问题，对《北京市民用运输机场管理办法》（以下简称办法）与《北京市民用机场净空保护区域管理若干规定》（以下简称规定）提出实施情况评估及具体修订建议。</w:t>
      </w:r>
    </w:p>
    <w:p w14:paraId="34C52594">
      <w:pPr>
        <w:spacing w:line="560" w:lineRule="exact"/>
        <w:ind w:left="420" w:leftChars="200"/>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lang w:eastAsia="zh-CN"/>
        </w:rPr>
        <w:t>（</w:t>
      </w:r>
      <w:r>
        <w:rPr>
          <w:rFonts w:hint="eastAsia" w:ascii="宋体" w:hAnsi="宋体" w:eastAsia="宋体" w:cs="宋体"/>
          <w:b/>
          <w:bCs/>
          <w:kern w:val="0"/>
          <w:sz w:val="24"/>
          <w:szCs w:val="24"/>
          <w:shd w:val="clear" w:color="auto" w:fill="FFFFFF"/>
          <w:lang w:val="en-US" w:eastAsia="zh-CN"/>
        </w:rPr>
        <w:t>二</w:t>
      </w:r>
      <w:r>
        <w:rPr>
          <w:rFonts w:hint="eastAsia" w:ascii="宋体" w:hAnsi="宋体" w:eastAsia="宋体" w:cs="宋体"/>
          <w:b/>
          <w:bCs/>
          <w:kern w:val="0"/>
          <w:sz w:val="24"/>
          <w:szCs w:val="24"/>
          <w:shd w:val="clear" w:color="auto" w:fill="FFFFFF"/>
          <w:lang w:eastAsia="zh-CN"/>
        </w:rPr>
        <w:t>）</w:t>
      </w:r>
      <w:r>
        <w:rPr>
          <w:rFonts w:hint="eastAsia" w:ascii="宋体" w:hAnsi="宋体" w:eastAsia="宋体" w:cs="宋体"/>
          <w:b/>
          <w:bCs/>
          <w:kern w:val="0"/>
          <w:sz w:val="24"/>
          <w:szCs w:val="24"/>
          <w:shd w:val="clear" w:color="auto" w:fill="FFFFFF"/>
        </w:rPr>
        <w:t>项目研究内容</w:t>
      </w:r>
    </w:p>
    <w:p w14:paraId="0A3F5C5C">
      <w:pPr>
        <w:spacing w:line="560" w:lineRule="exact"/>
        <w:ind w:firstLine="480" w:firstLineChars="200"/>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聚焦管委会对首都机场、大兴机场的协调管理职能的履行，全面总结评估机场的协调与管理现状、《办法》与《规定》的执行情况，借鉴其他地方经验，形成1.关于《北京市民用运输机场管理办法》实施情况评估报告。2.关于《北京市民用机场净空保护区域管理若干规定》实施情况评估报告。3.关于《北京市民用运输机场管理办法》《北京市民用机场净空保护区域管理若干规定》的修订建议。</w:t>
      </w:r>
    </w:p>
    <w:p w14:paraId="3BC6F4BD">
      <w:pPr>
        <w:spacing w:line="560" w:lineRule="exact"/>
        <w:ind w:firstLine="480" w:firstLineChars="200"/>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主要研究内容涵盖以下几个方面：</w:t>
      </w:r>
    </w:p>
    <w:p w14:paraId="5AA7BCCB">
      <w:pPr>
        <w:spacing w:line="560" w:lineRule="exact"/>
        <w:ind w:firstLine="482" w:firstLineChars="200"/>
        <w:jc w:val="left"/>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 xml:space="preserve">（1）机场协调与管理现状评估  </w:t>
      </w:r>
    </w:p>
    <w:p w14:paraId="7002922F">
      <w:pPr>
        <w:spacing w:line="560" w:lineRule="exact"/>
        <w:ind w:firstLine="480" w:firstLineChars="200"/>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在首都机场、大兴机场开展实地调研，总结与评估当前机场管理机构与北京市政府的协调对接情况、相关区和市级部门的协调工作机制建立与运行情况、机场管理各主体在机场规划、建设、大气污染防治、噪声控制、净空保护、交通组织、社会治安和食品药品监管等领域的管理现状。通过实地考察各主体尤其是北京市政府协调与管理首都机场、大兴机场的实际情况，分析其与批复的职责意欲实现的效果之间的差异，总结当下存在的问题，吸收当前优秀经验，为管委会履行协调管理职能提供更具针对性和可操作性的建议。</w:t>
      </w:r>
    </w:p>
    <w:p w14:paraId="2DAEF822">
      <w:pPr>
        <w:spacing w:line="560" w:lineRule="exact"/>
        <w:ind w:firstLine="482" w:firstLineChars="200"/>
        <w:jc w:val="left"/>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（2）《办法》、《规定》实施情况评估</w:t>
      </w:r>
    </w:p>
    <w:p w14:paraId="2C71E8ED">
      <w:pPr>
        <w:spacing w:line="560" w:lineRule="exact"/>
        <w:ind w:firstLine="480" w:firstLineChars="200"/>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梳理近年来北京市落实《办法》、《规定》已经开展的工作情况、工作亮点，分析面临的困难、存在的不足，并指出在修法前，管委会为履行编制批复职责的工作重点。形成关于《办法》及《规定》的实施情况评估报告。</w:t>
      </w:r>
    </w:p>
    <w:p w14:paraId="290184E5">
      <w:pPr>
        <w:spacing w:line="560" w:lineRule="exact"/>
        <w:ind w:firstLine="482" w:firstLineChars="200"/>
        <w:jc w:val="left"/>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（3）其他地方的经验借鉴</w:t>
      </w:r>
    </w:p>
    <w:p w14:paraId="3A5412E5">
      <w:pPr>
        <w:spacing w:line="560" w:lineRule="exact"/>
        <w:ind w:firstLine="480" w:firstLineChars="200"/>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梳理分析其他地方现行民用机场管理的相关法律法规，并梳理可供管委会借鉴的内容，分析实现路径。</w:t>
      </w:r>
    </w:p>
    <w:p w14:paraId="46659C87">
      <w:pPr>
        <w:spacing w:line="560" w:lineRule="exact"/>
        <w:ind w:firstLine="480" w:firstLineChars="200"/>
        <w:jc w:val="lef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 xml:space="preserve">选取2-3个其他城市进行线下或线上调研，考察当地政府在民用机场管理方面的实际职能履行情况，并吸收其成熟经验。  </w:t>
      </w:r>
    </w:p>
    <w:p w14:paraId="4332CFDE">
      <w:pPr>
        <w:spacing w:line="560" w:lineRule="exact"/>
        <w:ind w:firstLine="482" w:firstLineChars="200"/>
        <w:jc w:val="left"/>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（4）形成修订建议</w:t>
      </w:r>
    </w:p>
    <w:p w14:paraId="0F5D55E9">
      <w:pPr>
        <w:spacing w:line="560" w:lineRule="exact"/>
        <w:ind w:firstLine="480" w:firstLineChars="200"/>
        <w:jc w:val="left"/>
        <w:rPr>
          <w:rFonts w:hint="eastAsia" w:ascii="宋体" w:hAnsi="宋体" w:eastAsia="宋体" w:cs="宋体"/>
          <w:b/>
          <w:bCs/>
          <w:kern w:val="0"/>
          <w:sz w:val="24"/>
          <w:szCs w:val="24"/>
          <w:shd w:val="clear" w:color="auto" w:fill="FFFFFF"/>
        </w:rPr>
      </w:pPr>
      <w:r>
        <w:rPr>
          <w:rFonts w:hint="eastAsia" w:ascii="宋体" w:hAnsi="宋体" w:eastAsia="宋体" w:cs="宋体"/>
          <w:kern w:val="0"/>
          <w:sz w:val="24"/>
          <w:szCs w:val="24"/>
          <w:shd w:val="clear" w:color="auto" w:fill="FFFFFF"/>
        </w:rPr>
        <w:t>深入调研修订《办法》、《规定》的背景，如修订原因、修订的必要性、可行性等，结合编制批复的具体职责，研讨管委会协调管理民用机场的法律地位、具体职责履行方式、管委会与机场管理机构以及相关区、市级部门间的协调机制等内容，并撰写具体的修订条文与相应的修订理由，研判修订后预期的目标与效果，并与北京市商务局合作，形成关于《北京市民用运输机场管理办法》、《北京市民用机场净空保护区域管理若干规定》的修订建议。</w:t>
      </w:r>
    </w:p>
    <w:p w14:paraId="0AB59275">
      <w:pPr>
        <w:spacing w:line="560" w:lineRule="exact"/>
        <w:ind w:firstLine="482" w:firstLineChars="200"/>
        <w:jc w:val="left"/>
        <w:rPr>
          <w:rFonts w:hint="eastAsia"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lang w:eastAsia="zh-CN"/>
        </w:rPr>
        <w:t>（</w:t>
      </w:r>
      <w:r>
        <w:rPr>
          <w:rFonts w:hint="eastAsia" w:ascii="宋体" w:hAnsi="宋体" w:eastAsia="宋体" w:cs="宋体"/>
          <w:b/>
          <w:bCs/>
          <w:kern w:val="0"/>
          <w:sz w:val="24"/>
          <w:szCs w:val="24"/>
          <w:shd w:val="clear" w:color="auto" w:fill="FFFFFF"/>
          <w:lang w:val="en-US" w:eastAsia="zh-CN"/>
        </w:rPr>
        <w:t>三</w:t>
      </w:r>
      <w:r>
        <w:rPr>
          <w:rFonts w:hint="eastAsia" w:ascii="宋体" w:hAnsi="宋体" w:eastAsia="宋体" w:cs="宋体"/>
          <w:b/>
          <w:bCs/>
          <w:kern w:val="0"/>
          <w:sz w:val="24"/>
          <w:szCs w:val="24"/>
          <w:shd w:val="clear" w:color="auto" w:fill="FFFFFF"/>
          <w:lang w:eastAsia="zh-CN"/>
        </w:rPr>
        <w:t>）</w:t>
      </w:r>
      <w:r>
        <w:rPr>
          <w:rFonts w:hint="eastAsia" w:ascii="宋体" w:hAnsi="宋体" w:eastAsia="宋体" w:cs="宋体"/>
          <w:b/>
          <w:bCs/>
          <w:kern w:val="0"/>
          <w:sz w:val="24"/>
          <w:szCs w:val="24"/>
          <w:shd w:val="clear" w:color="auto" w:fill="FFFFFF"/>
        </w:rPr>
        <w:t>项目团队人员要求</w:t>
      </w:r>
    </w:p>
    <w:p w14:paraId="72C03891">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（1）服务团队应为本项目配备8人及以上的专业项目研究人员，进行项目调研及调研管理、数据整理、报告撰写等相关工作，确保项目保质保量完成。</w:t>
      </w:r>
    </w:p>
    <w:p w14:paraId="5346F701">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（2）服务团队在相关领域具有一定研究、咨询、管理或顾问经验。</w:t>
      </w:r>
    </w:p>
    <w:p w14:paraId="647EC398">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（3）服务团队至少应具有1名高级职称(与本项目相关专业)、2名中级职称(与本项目相关专业)专职人员。</w:t>
      </w:r>
    </w:p>
    <w:p w14:paraId="6E227D13">
      <w:pPr>
        <w:pStyle w:val="34"/>
        <w:spacing w:line="560" w:lineRule="exact"/>
        <w:ind w:firstLine="482" w:firstLineChars="200"/>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lang w:val="en-US" w:eastAsia="zh-CN"/>
        </w:rPr>
        <w:t>四</w:t>
      </w: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rPr>
        <w:t>服务要求</w:t>
      </w:r>
    </w:p>
    <w:p w14:paraId="3C254075">
      <w:pPr>
        <w:pStyle w:val="34"/>
        <w:spacing w:line="56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（1）服务团队应自行完成咨询服务工作，不得以任何形式将咨询服务工作转包或分包给第三方。</w:t>
      </w:r>
    </w:p>
    <w:p w14:paraId="7C269A66">
      <w:pPr>
        <w:pStyle w:val="34"/>
        <w:spacing w:line="56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（2）服务团队应配备项目负责人，负责项目的组织、协调。</w:t>
      </w:r>
    </w:p>
    <w:p w14:paraId="6FFE2959">
      <w:pPr>
        <w:pStyle w:val="34"/>
        <w:spacing w:line="560" w:lineRule="exact"/>
        <w:ind w:firstLine="482" w:firstLineChars="200"/>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lang w:val="en-US" w:eastAsia="zh-CN"/>
        </w:rPr>
        <w:t>五</w:t>
      </w: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rPr>
        <w:t>服务期限</w:t>
      </w:r>
    </w:p>
    <w:p w14:paraId="04852390">
      <w:pPr>
        <w:pStyle w:val="34"/>
        <w:spacing w:line="56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自合同生效之日起，至完成本项目合同项下的全部工作为止。</w:t>
      </w:r>
    </w:p>
    <w:p w14:paraId="02B1F1E8">
      <w:pPr>
        <w:pStyle w:val="34"/>
        <w:spacing w:line="560" w:lineRule="exact"/>
        <w:ind w:firstLine="482" w:firstLineChars="200"/>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lang w:val="en-US" w:eastAsia="zh-CN"/>
        </w:rPr>
        <w:t>六</w:t>
      </w: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rPr>
        <w:t>成果文件要求</w:t>
      </w:r>
    </w:p>
    <w:p w14:paraId="7F99F34C">
      <w:pPr>
        <w:pStyle w:val="34"/>
        <w:spacing w:line="56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结合资料检索、实地调研、座谈交流、问卷调查、数据分析、分析论证，组织相关专业专家协同调研，出具1.关于《北京市民用运输机场管理办法》实施情况评估报告。2.关于《北京市民用机场净空保护区域管理若干规定》实施情况评估报告。3.关于《北京市民用运输机场管理办法》《北京市民用机场净空保护区域管理若干规定》的修订建议。</w:t>
      </w:r>
    </w:p>
    <w:p w14:paraId="50179648">
      <w:pPr>
        <w:pStyle w:val="34"/>
        <w:spacing w:line="56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本项目的咨询服务成果是以上全部成果文件文本及相关图册、文本简版、宣传用稿，中选人向采购人提交相应的电子版成果（光盘/U盘） 1 份，纸质版研究报告4份。</w:t>
      </w:r>
    </w:p>
    <w:p w14:paraId="33ED39AC">
      <w:pPr>
        <w:pStyle w:val="34"/>
        <w:spacing w:line="560" w:lineRule="exact"/>
        <w:ind w:firstLine="482" w:firstLineChars="200"/>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lang w:val="en-US" w:eastAsia="zh-CN"/>
        </w:rPr>
        <w:t>七</w:t>
      </w: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rPr>
        <w:t>验收时间、标准及方式</w:t>
      </w:r>
    </w:p>
    <w:p w14:paraId="2ECA5C71">
      <w:pPr>
        <w:pStyle w:val="34"/>
        <w:spacing w:line="56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采购人于中选人交付全部咨询服务成果后10日内，按合同约定的调研内容及中选人根据调研内容提供的全部成果文件为内容，采用会议方式组织验收，以采购人会议评审通过为验收通过。</w:t>
      </w:r>
    </w:p>
    <w:p w14:paraId="2449368A">
      <w:pPr>
        <w:pStyle w:val="34"/>
        <w:spacing w:line="560" w:lineRule="exact"/>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项目成果验收合格期满3个月内，中选人有义务为采购人提供项目成果咨询和完善建议。</w:t>
      </w:r>
    </w:p>
    <w:p w14:paraId="27BE1DA8">
      <w:pPr>
        <w:pStyle w:val="34"/>
        <w:spacing w:line="560" w:lineRule="exact"/>
        <w:ind w:firstLine="482" w:firstLineChars="200"/>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lang w:val="en-US" w:eastAsia="zh-CN"/>
        </w:rPr>
        <w:t>八</w:t>
      </w:r>
      <w:r>
        <w:rPr>
          <w:rFonts w:hint="eastAsia" w:ascii="宋体" w:hAnsi="宋体" w:eastAsia="宋体" w:cs="宋体"/>
          <w:b/>
          <w:bCs/>
          <w:color w:val="auto"/>
          <w:kern w:val="0"/>
          <w:sz w:val="24"/>
          <w:szCs w:val="24"/>
          <w:shd w:val="clear" w:color="auto" w:fill="FFFFFF"/>
          <w:lang w:eastAsia="zh-CN"/>
        </w:rPr>
        <w:t>）</w:t>
      </w:r>
      <w:r>
        <w:rPr>
          <w:rFonts w:hint="eastAsia" w:ascii="宋体" w:hAnsi="宋体" w:eastAsia="宋体" w:cs="宋体"/>
          <w:b/>
          <w:bCs/>
          <w:color w:val="auto"/>
          <w:kern w:val="0"/>
          <w:sz w:val="24"/>
          <w:szCs w:val="24"/>
          <w:shd w:val="clear" w:color="auto" w:fill="FFFFFF"/>
        </w:rPr>
        <w:t>其他要求</w:t>
      </w:r>
    </w:p>
    <w:p w14:paraId="33D4CCD1">
      <w:pPr>
        <w:pStyle w:val="25"/>
        <w:numPr>
          <w:numId w:val="0"/>
        </w:numPr>
        <w:spacing w:line="360" w:lineRule="auto"/>
        <w:ind w:leftChars="200"/>
        <w:outlineLvl w:val="0"/>
        <w:rPr>
          <w:rFonts w:hint="eastAsia" w:ascii="宋体" w:hAnsi="宋体" w:eastAsia="宋体" w:cs="宋体"/>
          <w:b/>
          <w:bCs/>
          <w:sz w:val="24"/>
          <w:szCs w:val="24"/>
          <w:lang w:val="en-US" w:eastAsia="zh-CN"/>
        </w:rPr>
      </w:pPr>
      <w:r>
        <w:rPr>
          <w:rFonts w:hint="eastAsia" w:ascii="宋体" w:hAnsi="宋体" w:eastAsia="宋体" w:cs="宋体"/>
          <w:kern w:val="0"/>
          <w:sz w:val="24"/>
          <w:szCs w:val="24"/>
          <w:shd w:val="clear" w:color="auto" w:fill="FFFFFF"/>
        </w:rPr>
        <w:t>供应商的报价须包含完成比选文件全部咨询服务内容的全部费用，包括但不限于人员费用、设备费用、会议费用、专家论证及评审费用、调研费用、问卷调查费用、管理费用、税金、利润等。</w:t>
      </w:r>
    </w:p>
    <w:p w14:paraId="1DAA62D7">
      <w:pPr>
        <w:pStyle w:val="6"/>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301CD5C8">
        <w:pPr>
          <w:pStyle w:val="13"/>
          <w:jc w:val="center"/>
        </w:pPr>
        <w:r>
          <w:fldChar w:fldCharType="begin"/>
        </w:r>
        <w:r>
          <w:instrText xml:space="preserve">PAGE   \* MERGEFORMAT</w:instrText>
        </w:r>
        <w:r>
          <w:fldChar w:fldCharType="separate"/>
        </w:r>
        <w:r>
          <w:rPr>
            <w:lang w:val="zh-CN"/>
          </w:rPr>
          <w:t>5</w:t>
        </w:r>
        <w:r>
          <w:fldChar w:fldCharType="end"/>
        </w:r>
      </w:p>
    </w:sdtContent>
  </w:sdt>
  <w:p w14:paraId="1A635A9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6D11">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971A9"/>
    <w:multiLevelType w:val="singleLevel"/>
    <w:tmpl w:val="D35971A9"/>
    <w:lvl w:ilvl="0" w:tentative="0">
      <w:start w:val="1"/>
      <w:numFmt w:val="chineseCounting"/>
      <w:suff w:val="nothing"/>
      <w:lvlText w:val="%1、"/>
      <w:lvlJc w:val="left"/>
      <w:rPr>
        <w:rFonts w:hint="eastAsia"/>
      </w:rPr>
    </w:lvl>
  </w:abstractNum>
  <w:abstractNum w:abstractNumId="1">
    <w:nsid w:val="F1533349"/>
    <w:multiLevelType w:val="multilevel"/>
    <w:tmpl w:val="F1533349"/>
    <w:lvl w:ilvl="0" w:tentative="0">
      <w:start w:val="1"/>
      <w:numFmt w:val="decimal"/>
      <w:lvlText w:val="%1."/>
      <w:lvlJc w:val="left"/>
      <w:pPr>
        <w:tabs>
          <w:tab w:val="left" w:pos="851"/>
        </w:tabs>
        <w:ind w:left="851" w:hanging="851"/>
      </w:pPr>
      <w:rPr>
        <w:rFonts w:hint="eastAsia"/>
      </w:rPr>
    </w:lvl>
    <w:lvl w:ilvl="1" w:tentative="0">
      <w:start w:val="1"/>
      <w:numFmt w:val="decimal"/>
      <w:suff w:val="space"/>
      <w:lvlText w:val="%1.%2."/>
      <w:lvlJc w:val="left"/>
      <w:pPr>
        <w:ind w:left="851" w:hanging="851"/>
      </w:pPr>
      <w:rPr>
        <w:rFonts w:hint="eastAsia"/>
      </w:rPr>
    </w:lvl>
    <w:lvl w:ilvl="2" w:tentative="0">
      <w:start w:val="1"/>
      <w:numFmt w:val="decimal"/>
      <w:lvlText w:val="%1.%2.%3."/>
      <w:lvlJc w:val="left"/>
      <w:pPr>
        <w:tabs>
          <w:tab w:val="left" w:pos="851"/>
        </w:tabs>
        <w:ind w:left="851" w:hanging="851"/>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4"/>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3">
    <w:nsid w:val="57BE01D1"/>
    <w:multiLevelType w:val="singleLevel"/>
    <w:tmpl w:val="57BE01D1"/>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D4C4B4D"/>
    <w:rsid w:val="0E1C10D1"/>
    <w:rsid w:val="0E6A782F"/>
    <w:rsid w:val="0F8A24E8"/>
    <w:rsid w:val="11A55826"/>
    <w:rsid w:val="12DE7825"/>
    <w:rsid w:val="13B741FE"/>
    <w:rsid w:val="152B6F63"/>
    <w:rsid w:val="15AB0ABB"/>
    <w:rsid w:val="15C0655C"/>
    <w:rsid w:val="1678078D"/>
    <w:rsid w:val="169E2C1C"/>
    <w:rsid w:val="171A2470"/>
    <w:rsid w:val="194D1CB8"/>
    <w:rsid w:val="1A3D3E6B"/>
    <w:rsid w:val="1C0D66DB"/>
    <w:rsid w:val="1C2B0F99"/>
    <w:rsid w:val="1DE62D5A"/>
    <w:rsid w:val="1F4B76D7"/>
    <w:rsid w:val="1FFF600B"/>
    <w:rsid w:val="200849D1"/>
    <w:rsid w:val="203527EC"/>
    <w:rsid w:val="21A70497"/>
    <w:rsid w:val="23287787"/>
    <w:rsid w:val="24DD6DCC"/>
    <w:rsid w:val="255045B2"/>
    <w:rsid w:val="26583F28"/>
    <w:rsid w:val="26D52E62"/>
    <w:rsid w:val="26E33204"/>
    <w:rsid w:val="2A5E1D27"/>
    <w:rsid w:val="2A8A2314"/>
    <w:rsid w:val="2AEE5863"/>
    <w:rsid w:val="2BB00137"/>
    <w:rsid w:val="2C68119F"/>
    <w:rsid w:val="2D7C3526"/>
    <w:rsid w:val="33353A31"/>
    <w:rsid w:val="344B1BCD"/>
    <w:rsid w:val="34DE5E29"/>
    <w:rsid w:val="355359F9"/>
    <w:rsid w:val="36EB75BC"/>
    <w:rsid w:val="37106F10"/>
    <w:rsid w:val="37DB3C9B"/>
    <w:rsid w:val="384A5821"/>
    <w:rsid w:val="396F1C0A"/>
    <w:rsid w:val="3ADA6C48"/>
    <w:rsid w:val="3D4C01F7"/>
    <w:rsid w:val="3DB85A64"/>
    <w:rsid w:val="3DC37382"/>
    <w:rsid w:val="3E5F40AD"/>
    <w:rsid w:val="40755777"/>
    <w:rsid w:val="410D2F57"/>
    <w:rsid w:val="41731A1B"/>
    <w:rsid w:val="41D25C46"/>
    <w:rsid w:val="42212242"/>
    <w:rsid w:val="426018CC"/>
    <w:rsid w:val="42DD4DF7"/>
    <w:rsid w:val="436D5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9AA2A6A"/>
    <w:rsid w:val="49FD6207"/>
    <w:rsid w:val="4B364E98"/>
    <w:rsid w:val="4D747BBB"/>
    <w:rsid w:val="4DFD20AB"/>
    <w:rsid w:val="4E035902"/>
    <w:rsid w:val="4F3560FA"/>
    <w:rsid w:val="51B47B3D"/>
    <w:rsid w:val="530A70BE"/>
    <w:rsid w:val="540D44AF"/>
    <w:rsid w:val="551F5EFC"/>
    <w:rsid w:val="554020D6"/>
    <w:rsid w:val="5590755D"/>
    <w:rsid w:val="56B153BE"/>
    <w:rsid w:val="571D62CD"/>
    <w:rsid w:val="57697C23"/>
    <w:rsid w:val="59154166"/>
    <w:rsid w:val="595C703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DBE6C66"/>
    <w:rsid w:val="6F3B4DD8"/>
    <w:rsid w:val="6F814F0E"/>
    <w:rsid w:val="707D6EAA"/>
    <w:rsid w:val="70C774DA"/>
    <w:rsid w:val="71637FD2"/>
    <w:rsid w:val="719B2C89"/>
    <w:rsid w:val="73414B48"/>
    <w:rsid w:val="744768A8"/>
    <w:rsid w:val="76897E86"/>
    <w:rsid w:val="77C3378B"/>
    <w:rsid w:val="77CC6261"/>
    <w:rsid w:val="78243542"/>
    <w:rsid w:val="78A230DC"/>
    <w:rsid w:val="78FF1B25"/>
    <w:rsid w:val="792926D3"/>
    <w:rsid w:val="79562D25"/>
    <w:rsid w:val="7A7D3FF2"/>
    <w:rsid w:val="7AE242A6"/>
    <w:rsid w:val="7B0F3449"/>
    <w:rsid w:val="7CA97FA9"/>
    <w:rsid w:val="7D12130A"/>
    <w:rsid w:val="7D63222C"/>
    <w:rsid w:val="7F275E1B"/>
    <w:rsid w:val="7FF470C5"/>
    <w:rsid w:val="9EFFF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7"/>
    <w:link w:val="29"/>
    <w:qFormat/>
    <w:uiPriority w:val="99"/>
    <w:pPr>
      <w:widowControl/>
      <w:spacing w:line="360" w:lineRule="auto"/>
    </w:pPr>
    <w:rPr>
      <w:rFonts w:ascii="Times New Roman" w:hAnsi="Times New Roman" w:eastAsia="宋体" w:cs="Times New Roman"/>
      <w:kern w:val="0"/>
      <w:sz w:val="20"/>
      <w:szCs w:val="20"/>
    </w:rPr>
  </w:style>
  <w:style w:type="paragraph" w:customStyle="1" w:styleId="7">
    <w:name w:val="A正文小四"/>
    <w:basedOn w:val="1"/>
    <w:qFormat/>
    <w:uiPriority w:val="0"/>
    <w:pPr>
      <w:spacing w:before="96" w:after="96"/>
      <w:ind w:firstLine="200" w:firstLineChars="200"/>
    </w:pPr>
    <w:rPr>
      <w:rFonts w:cs="黑体"/>
      <w:sz w:val="24"/>
      <w:szCs w:val="24"/>
    </w:rPr>
  </w:style>
  <w:style w:type="paragraph" w:styleId="8">
    <w:name w:val="Body Text Indent"/>
    <w:basedOn w:val="1"/>
    <w:next w:val="9"/>
    <w:autoRedefine/>
    <w:qFormat/>
    <w:uiPriority w:val="0"/>
    <w:pPr>
      <w:ind w:firstLine="645"/>
    </w:pPr>
    <w:rPr>
      <w:rFonts w:ascii="楷体_GB2312" w:eastAsia="楷体_GB2312"/>
      <w:sz w:val="32"/>
      <w:szCs w:val="20"/>
    </w:rPr>
  </w:style>
  <w:style w:type="paragraph" w:styleId="9">
    <w:name w:val="Body Text First Indent 2"/>
    <w:basedOn w:val="8"/>
    <w:next w:val="1"/>
    <w:autoRedefine/>
    <w:qFormat/>
    <w:uiPriority w:val="99"/>
    <w:pPr>
      <w:spacing w:after="120"/>
      <w:ind w:left="420" w:leftChars="200" w:firstLine="420" w:firstLineChars="200"/>
    </w:pPr>
    <w:rPr>
      <w:sz w:val="21"/>
    </w:rPr>
  </w:style>
  <w:style w:type="paragraph" w:styleId="10">
    <w:name w:val="Plain Text"/>
    <w:basedOn w:val="1"/>
    <w:autoRedefine/>
    <w:qFormat/>
    <w:uiPriority w:val="0"/>
    <w:rPr>
      <w:rFonts w:ascii="宋体" w:hAnsi="Courier New"/>
    </w:rPr>
  </w:style>
  <w:style w:type="paragraph" w:styleId="11">
    <w:name w:val="Date"/>
    <w:basedOn w:val="1"/>
    <w:next w:val="1"/>
    <w:link w:val="31"/>
    <w:autoRedefine/>
    <w:qFormat/>
    <w:uiPriority w:val="99"/>
    <w:rPr>
      <w:rFonts w:hint="eastAsia" w:ascii="仿宋_GB2312" w:hAnsi="Times New Roman" w:eastAsia="仿宋_GB2312" w:cs="Times New Roman"/>
      <w:kern w:val="0"/>
      <w:sz w:val="32"/>
      <w:szCs w:val="20"/>
    </w:r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24"/>
    <w:autoRedefine/>
    <w:unhideWhenUsed/>
    <w:qFormat/>
    <w:uiPriority w:val="99"/>
    <w:pPr>
      <w:tabs>
        <w:tab w:val="center" w:pos="4153"/>
        <w:tab w:val="right" w:pos="8306"/>
      </w:tabs>
      <w:snapToGrid w:val="0"/>
      <w:jc w:val="left"/>
    </w:pPr>
    <w:rPr>
      <w:sz w:val="18"/>
      <w:szCs w:val="18"/>
    </w:rPr>
  </w:style>
  <w:style w:type="paragraph" w:styleId="14">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6"/>
    <w:qFormat/>
    <w:uiPriority w:val="10"/>
    <w:pPr>
      <w:widowControl/>
      <w:spacing w:after="240"/>
      <w:contextualSpacing/>
      <w:jc w:val="center"/>
    </w:pPr>
    <w:rPr>
      <w:rFonts w:ascii="Times New Roman" w:hAnsi="Times New Roman" w:eastAsia="方正小标宋简体"/>
      <w:spacing w:val="5"/>
      <w:kern w:val="28"/>
      <w:sz w:val="36"/>
      <w:szCs w:val="5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annotation reference"/>
    <w:autoRedefine/>
    <w:semiHidden/>
    <w:qFormat/>
    <w:uiPriority w:val="99"/>
    <w:rPr>
      <w:sz w:val="21"/>
      <w:szCs w:val="21"/>
    </w:rPr>
  </w:style>
  <w:style w:type="character" w:customStyle="1" w:styleId="23">
    <w:name w:val="页眉 Char"/>
    <w:basedOn w:val="20"/>
    <w:link w:val="14"/>
    <w:autoRedefine/>
    <w:qFormat/>
    <w:uiPriority w:val="99"/>
    <w:rPr>
      <w:sz w:val="18"/>
      <w:szCs w:val="18"/>
    </w:rPr>
  </w:style>
  <w:style w:type="character" w:customStyle="1" w:styleId="24">
    <w:name w:val="页脚 Char"/>
    <w:basedOn w:val="20"/>
    <w:link w:val="13"/>
    <w:autoRedefine/>
    <w:qFormat/>
    <w:uiPriority w:val="99"/>
    <w:rPr>
      <w:sz w:val="18"/>
      <w:szCs w:val="18"/>
    </w:rPr>
  </w:style>
  <w:style w:type="paragraph" w:styleId="25">
    <w:name w:val="List Paragraph"/>
    <w:basedOn w:val="1"/>
    <w:autoRedefine/>
    <w:qFormat/>
    <w:uiPriority w:val="34"/>
    <w:pPr>
      <w:ind w:firstLine="420" w:firstLineChars="200"/>
    </w:pPr>
  </w:style>
  <w:style w:type="character" w:customStyle="1" w:styleId="26">
    <w:name w:val="标题 Char"/>
    <w:link w:val="17"/>
    <w:autoRedefine/>
    <w:qFormat/>
    <w:uiPriority w:val="10"/>
    <w:rPr>
      <w:rFonts w:ascii="Times New Roman" w:hAnsi="Times New Roman" w:eastAsia="方正小标宋简体"/>
      <w:spacing w:val="5"/>
      <w:kern w:val="28"/>
      <w:sz w:val="36"/>
      <w:szCs w:val="52"/>
    </w:rPr>
  </w:style>
  <w:style w:type="character" w:customStyle="1" w:styleId="27">
    <w:name w:val="标题 字符1"/>
    <w:basedOn w:val="20"/>
    <w:qFormat/>
    <w:uiPriority w:val="10"/>
    <w:rPr>
      <w:rFonts w:asciiTheme="majorHAnsi" w:hAnsiTheme="majorHAnsi" w:eastAsiaTheme="majorEastAsia" w:cstheme="majorBidi"/>
      <w:b/>
      <w:bCs/>
      <w:sz w:val="32"/>
      <w:szCs w:val="32"/>
    </w:rPr>
  </w:style>
  <w:style w:type="character" w:customStyle="1" w:styleId="28">
    <w:name w:val="HTML 预设格式 Char"/>
    <w:basedOn w:val="20"/>
    <w:link w:val="15"/>
    <w:qFormat/>
    <w:uiPriority w:val="0"/>
    <w:rPr>
      <w:rFonts w:ascii="Arial" w:hAnsi="Arial" w:eastAsia="宋体" w:cs="Arial"/>
      <w:kern w:val="0"/>
      <w:sz w:val="24"/>
      <w:szCs w:val="24"/>
    </w:rPr>
  </w:style>
  <w:style w:type="character" w:customStyle="1" w:styleId="29">
    <w:name w:val="正文文本 Char"/>
    <w:basedOn w:val="20"/>
    <w:link w:val="6"/>
    <w:qFormat/>
    <w:uiPriority w:val="99"/>
    <w:rPr>
      <w:rFonts w:ascii="Times New Roman" w:hAnsi="Times New Roman" w:eastAsia="宋体" w:cs="Times New Roman"/>
      <w:kern w:val="0"/>
      <w:sz w:val="20"/>
      <w:szCs w:val="20"/>
    </w:rPr>
  </w:style>
  <w:style w:type="paragraph" w:customStyle="1" w:styleId="30">
    <w:name w:val="Table Paragraph"/>
    <w:basedOn w:val="1"/>
    <w:autoRedefine/>
    <w:qFormat/>
    <w:uiPriority w:val="1"/>
    <w:pPr>
      <w:spacing w:before="102"/>
      <w:jc w:val="center"/>
    </w:pPr>
    <w:rPr>
      <w:rFonts w:ascii="宋体" w:hAnsi="宋体" w:eastAsia="宋体" w:cs="宋体"/>
      <w:lang w:val="zh-CN" w:bidi="zh-CN"/>
    </w:rPr>
  </w:style>
  <w:style w:type="character" w:customStyle="1" w:styleId="31">
    <w:name w:val="日期 Char"/>
    <w:basedOn w:val="20"/>
    <w:link w:val="11"/>
    <w:autoRedefine/>
    <w:qFormat/>
    <w:uiPriority w:val="99"/>
    <w:rPr>
      <w:rFonts w:ascii="仿宋_GB2312" w:hAnsi="Times New Roman" w:eastAsia="仿宋_GB2312" w:cs="Times New Roman"/>
      <w:kern w:val="0"/>
      <w:sz w:val="32"/>
      <w:szCs w:val="20"/>
    </w:rPr>
  </w:style>
  <w:style w:type="character" w:customStyle="1" w:styleId="32">
    <w:name w:val="NormalCharacter"/>
    <w:autoRedefine/>
    <w:qFormat/>
    <w:uiPriority w:val="0"/>
  </w:style>
  <w:style w:type="paragraph" w:customStyle="1" w:styleId="33">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4">
    <w:name w:val="正文文本1"/>
    <w:basedOn w:val="1"/>
    <w:autoRedefine/>
    <w:qFormat/>
    <w:uiPriority w:val="0"/>
    <w:pPr>
      <w:widowControl/>
      <w:spacing w:line="360" w:lineRule="auto"/>
    </w:pPr>
    <w:rPr>
      <w:color w:val="FF0000"/>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Char"/>
    <w:basedOn w:val="20"/>
    <w:link w:val="12"/>
    <w:autoRedefine/>
    <w:semiHidden/>
    <w:qFormat/>
    <w:uiPriority w:val="99"/>
    <w:rPr>
      <w:rFonts w:asciiTheme="minorHAnsi" w:hAnsiTheme="minorHAnsi" w:eastAsiaTheme="minorEastAsia" w:cstheme="minorBidi"/>
      <w:kern w:val="2"/>
      <w:sz w:val="18"/>
      <w:szCs w:val="18"/>
    </w:rPr>
  </w:style>
  <w:style w:type="paragraph" w:customStyle="1" w:styleId="37">
    <w:name w:val="样式4"/>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2083</Words>
  <Characters>2332</Characters>
  <Lines>22</Lines>
  <Paragraphs>6</Paragraphs>
  <TotalTime>1</TotalTime>
  <ScaleCrop>false</ScaleCrop>
  <LinksUpToDate>false</LinksUpToDate>
  <CharactersWithSpaces>2448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2022-01-25T09:02:00Z</dcterms:created>
  <dc:creator>j4</dc:creator>
  <cp:lastModifiedBy>鲍杜佳</cp:lastModifiedBy>
  <cp:lastPrinted>2024-08-28T08:48:00Z</cp:lastPrinted>
  <dcterms:modified xsi:type="dcterms:W3CDTF">2025-06-23T02:20:53Z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3ECFA9D3DFC74702BA72747FB845DB4C_13</vt:lpwstr>
  </property>
  <property fmtid="{D5CDD505-2E9C-101B-9397-08002B2CF9AE}" pid="4" name="KSOTemplateDocerSaveRecord">
    <vt:lpwstr>eyJoZGlkIjoiZDU2OGE2NWQ3MDkzZDQyYzQwZjU3NTMyY2U5MmE5NzciLCJ1c2VySWQiOiIxNTU3NDM2MzM5In0=</vt:lpwstr>
  </property>
</Properties>
</file>