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C13A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bookmarkStart w:id="0" w:name="_Hlk202796270"/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2026年北京市重点站区舆情监测服务项目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需求公示</w:t>
      </w:r>
      <w:bookmarkEnd w:id="0"/>
      <w:r>
        <w:rPr>
          <w:rFonts w:ascii="Times New Roman" w:hAnsi="Times New Roman" w:eastAsia="宋体" w:cs="Times New Roman"/>
          <w:b/>
          <w:bCs/>
          <w:sz w:val="36"/>
          <w:szCs w:val="36"/>
        </w:rPr>
        <w:t>附件</w:t>
      </w:r>
    </w:p>
    <w:p w14:paraId="01B1B96E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248B0D66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 w14:paraId="7D7FB3BF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（注：以下附件1至附件3为实质性条款，没有对此作出完全响应的供应商将被拒绝）</w:t>
      </w:r>
    </w:p>
    <w:tbl>
      <w:tblPr>
        <w:tblStyle w:val="20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45C5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5"/>
          </w:tcPr>
          <w:p w14:paraId="043FBD30">
            <w:pPr>
              <w:pStyle w:val="35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2A2A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3" w:type="pct"/>
            <w:vAlign w:val="center"/>
          </w:tcPr>
          <w:p w14:paraId="7913CF07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0099AA6D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0A90D893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40C661B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456E8C43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5F22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3" w:type="pct"/>
            <w:vAlign w:val="center"/>
          </w:tcPr>
          <w:p w14:paraId="053BF179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183A7D4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0806DF13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391D81B8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5360421E">
            <w:pPr>
              <w:pStyle w:val="35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FE5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</w:tcPr>
          <w:p w14:paraId="221D1C4E">
            <w:pPr>
              <w:pStyle w:val="35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0CD0DA5F">
      <w:pPr>
        <w:pStyle w:val="35"/>
        <w:rPr>
          <w:rFonts w:ascii="Times New Roman" w:hAnsi="Times New Roman" w:eastAsia="宋体" w:cs="Times New Roman"/>
          <w:sz w:val="24"/>
          <w:szCs w:val="24"/>
        </w:rPr>
      </w:pPr>
    </w:p>
    <w:p w14:paraId="52726568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附件1 有效的营业执照或法人证书等证明文件，以自然人身份参与的提交自然人的有效身份证明</w:t>
      </w:r>
    </w:p>
    <w:p w14:paraId="09A93621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附件2 法定代表人/负责人身份证明</w:t>
      </w:r>
    </w:p>
    <w:p w14:paraId="79F175D3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附件3 法定代表人/负责人授权书</w:t>
      </w:r>
    </w:p>
    <w:p w14:paraId="55672F6E">
      <w:pPr>
        <w:pStyle w:val="9"/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</w:p>
    <w:p w14:paraId="3C1A9DCF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C0BFD3B">
      <w:pPr>
        <w:pStyle w:val="35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283FE10D">
      <w:pPr>
        <w:pStyle w:val="35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1" w:name="_Toc17461"/>
      <w:r>
        <w:rPr>
          <w:rFonts w:ascii="Times New Roman" w:hAnsi="Times New Roman" w:eastAsia="宋体" w:cs="Times New Roman"/>
          <w:color w:val="auto"/>
          <w:sz w:val="24"/>
          <w:szCs w:val="24"/>
        </w:rPr>
        <w:t>附件 1  有效的营业执照或法人证书等证明文件（复印件，须加盖供应商公章），以自然人身份参与的提交自然人的有效身份证明（复印件）</w:t>
      </w:r>
      <w:bookmarkEnd w:id="1"/>
    </w:p>
    <w:p w14:paraId="02F9F3BB">
      <w:pPr>
        <w:rPr>
          <w:rFonts w:ascii="Times New Roman" w:hAnsi="Times New Roman" w:eastAsia="宋体" w:cs="Times New Roman"/>
          <w:sz w:val="24"/>
        </w:rPr>
      </w:pPr>
    </w:p>
    <w:p w14:paraId="24AD5F12">
      <w:pPr>
        <w:rPr>
          <w:rFonts w:ascii="Times New Roman" w:hAnsi="Times New Roman" w:eastAsia="宋体" w:cs="Times New Roman"/>
          <w:sz w:val="24"/>
        </w:rPr>
      </w:pPr>
    </w:p>
    <w:p w14:paraId="3C1E465B">
      <w:pPr>
        <w:rPr>
          <w:rFonts w:ascii="Times New Roman" w:hAnsi="Times New Roman" w:eastAsia="宋体" w:cs="Times New Roman"/>
          <w:sz w:val="24"/>
        </w:rPr>
      </w:pPr>
    </w:p>
    <w:p w14:paraId="6F224AA9">
      <w:pPr>
        <w:rPr>
          <w:rFonts w:ascii="Times New Roman" w:hAnsi="Times New Roman" w:eastAsia="宋体" w:cs="Times New Roman"/>
          <w:sz w:val="24"/>
        </w:rPr>
      </w:pPr>
    </w:p>
    <w:p w14:paraId="2C640D1A">
      <w:pPr>
        <w:rPr>
          <w:rFonts w:ascii="Times New Roman" w:hAnsi="Times New Roman" w:eastAsia="宋体" w:cs="Times New Roman"/>
          <w:sz w:val="24"/>
        </w:rPr>
      </w:pPr>
    </w:p>
    <w:p w14:paraId="60E30CBC">
      <w:pPr>
        <w:pStyle w:val="3"/>
        <w:rPr>
          <w:rFonts w:ascii="Times New Roman" w:hAnsi="Times New Roman" w:eastAsia="宋体" w:cs="Times New Roman"/>
          <w:sz w:val="24"/>
          <w:szCs w:val="24"/>
        </w:rPr>
      </w:pPr>
      <w:bookmarkStart w:id="2" w:name="_Toc495677503"/>
      <w:bookmarkStart w:id="3" w:name="_Toc421622105"/>
      <w:r>
        <w:rPr>
          <w:rFonts w:ascii="Times New Roman" w:hAnsi="Times New Roman" w:eastAsia="宋体" w:cs="Times New Roman"/>
          <w:sz w:val="24"/>
        </w:rPr>
        <w:br w:type="page"/>
      </w:r>
      <w:bookmarkEnd w:id="2"/>
      <w:bookmarkEnd w:id="3"/>
      <w:bookmarkStart w:id="4" w:name="_Toc37675382"/>
      <w:bookmarkStart w:id="5" w:name="_Toc12784"/>
      <w:bookmarkStart w:id="6" w:name="_Toc4718"/>
      <w:r>
        <w:rPr>
          <w:rFonts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4"/>
      <w:bookmarkEnd w:id="5"/>
      <w:bookmarkEnd w:id="6"/>
    </w:p>
    <w:p w14:paraId="016C6E6E">
      <w:pPr>
        <w:pStyle w:val="10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 w14:paraId="37D5152E"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049A476E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供应商名称：</w:t>
      </w:r>
    </w:p>
    <w:p w14:paraId="2DB2EB01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单位性质：</w:t>
      </w:r>
    </w:p>
    <w:p w14:paraId="43EE4700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成立时间：   年    月     日</w:t>
      </w:r>
    </w:p>
    <w:p w14:paraId="2726A956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113B1605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ascii="Times New Roman" w:hAnsi="Times New Roman" w:eastAsia="宋体" w:cs="Times New Roman"/>
          <w:sz w:val="24"/>
          <w:szCs w:val="24"/>
        </w:rPr>
        <w:t>的法定代表人/负责人。</w:t>
      </w:r>
    </w:p>
    <w:p w14:paraId="22C88620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特此证明。</w:t>
      </w:r>
    </w:p>
    <w:p w14:paraId="01CE37F8">
      <w:pPr>
        <w:pStyle w:val="10"/>
        <w:spacing w:before="187"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5F45DD5D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569D2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164A2270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517F183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72990BB9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7463AFF1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2F619495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4D8DDE7C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66701505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74E340B9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 w14:paraId="4D36E63A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 w14:paraId="4E2B2400">
      <w:pPr>
        <w:pStyle w:val="10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日期：__________________</w:t>
      </w:r>
    </w:p>
    <w:p w14:paraId="6810E12D">
      <w:pPr>
        <w:pStyle w:val="10"/>
        <w:spacing w:before="268" w:beforeLines="86" w:line="3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A9B58A2">
      <w:pPr>
        <w:pStyle w:val="36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64A41E29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0725E689">
      <w:pPr>
        <w:pStyle w:val="3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7" w:name="_Toc29548"/>
      <w:bookmarkStart w:id="8" w:name="_Toc14596"/>
      <w:bookmarkStart w:id="9" w:name="_Toc37675383"/>
      <w:r>
        <w:rPr>
          <w:rFonts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7"/>
      <w:bookmarkEnd w:id="8"/>
      <w:bookmarkEnd w:id="9"/>
    </w:p>
    <w:p w14:paraId="5409CEDD">
      <w:pPr>
        <w:pStyle w:val="10"/>
        <w:spacing w:before="268" w:beforeLines="86" w:line="30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 w14:paraId="1751DDDD">
      <w:pPr>
        <w:pStyle w:val="10"/>
        <w:spacing w:before="268" w:beforeLines="86" w:line="30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AB91824"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bookmarkStart w:id="10" w:name="_Toc16007829"/>
      <w:r>
        <w:rPr>
          <w:rFonts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10"/>
    </w:p>
    <w:p w14:paraId="69DFE109">
      <w:pPr>
        <w:pStyle w:val="10"/>
        <w:spacing w:line="36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ascii="Times New Roman" w:hAnsi="Times New Roman" w:eastAsia="宋体" w:cs="Times New Roman"/>
          <w:sz w:val="24"/>
          <w:szCs w:val="24"/>
        </w:rPr>
        <w:t>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ascii="Times New Roman" w:hAnsi="Times New Roman" w:eastAsia="宋体" w:cs="Times New Roman"/>
          <w:sz w:val="24"/>
          <w:szCs w:val="24"/>
        </w:rPr>
        <w:t>代表本公司授权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ascii="Times New Roman" w:hAnsi="Times New Roman" w:eastAsia="宋体" w:cs="Times New Roman"/>
          <w:sz w:val="24"/>
          <w:szCs w:val="24"/>
        </w:rPr>
        <w:t>为本公司的合法代理人，就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的比选，以本公司名义处理一切与之有关的事务。　　</w:t>
      </w:r>
    </w:p>
    <w:p w14:paraId="4CC90CCE">
      <w:pPr>
        <w:pStyle w:val="1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57FD2250">
      <w:pPr>
        <w:pStyle w:val="10"/>
        <w:spacing w:before="187" w:beforeLines="60"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51A2AFC">
      <w:pPr>
        <w:pStyle w:val="10"/>
        <w:spacing w:before="187" w:beforeLines="60"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77EFC9CE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451DCFE2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23BCE83F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附：</w:t>
      </w:r>
    </w:p>
    <w:p w14:paraId="212675E1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被授权人姓名：_______________</w:t>
      </w:r>
    </w:p>
    <w:p w14:paraId="5B850D08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职　　　　务：_______________</w:t>
      </w:r>
    </w:p>
    <w:p w14:paraId="1A51D303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　　　　话：_______________</w:t>
      </w:r>
    </w:p>
    <w:p w14:paraId="5018CB2B">
      <w:pPr>
        <w:pStyle w:val="10"/>
        <w:spacing w:before="187"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237097C">
      <w:pPr>
        <w:pStyle w:val="35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被授权人的身份证明：有效的身份证正反面复印件，或有效的护照复印件。</w:t>
      </w:r>
    </w:p>
    <w:tbl>
      <w:tblPr>
        <w:tblStyle w:val="19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5E2A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7473C438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br w:type="page"/>
            </w:r>
          </w:p>
          <w:p w14:paraId="183B80F2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DCE8D45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14:paraId="380E633D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1B01E677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32F32BC3">
            <w:pPr>
              <w:tabs>
                <w:tab w:val="left" w:pos="5580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53CA3D43">
      <w:pPr>
        <w:rPr>
          <w:rFonts w:ascii="Times New Roman" w:hAnsi="Times New Roman" w:eastAsia="宋体" w:cs="Times New Roman"/>
          <w:sz w:val="24"/>
          <w:szCs w:val="24"/>
        </w:rPr>
      </w:pPr>
    </w:p>
    <w:p w14:paraId="0033CD49"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6BDF9BE1">
      <w:pPr>
        <w:widowControl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br w:type="page"/>
      </w:r>
    </w:p>
    <w:p w14:paraId="23DF26D1">
      <w:pPr>
        <w:pStyle w:val="3"/>
        <w:rPr>
          <w:rFonts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 xml:space="preserve">    采购需求</w:t>
      </w:r>
    </w:p>
    <w:p w14:paraId="6D46A199">
      <w:pPr>
        <w:pStyle w:val="2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Chars="0"/>
        <w:contextualSpacing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项目简况</w:t>
      </w:r>
    </w:p>
    <w:p w14:paraId="13B86342">
      <w:pPr>
        <w:pStyle w:val="2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/>
          <w:sz w:val="24"/>
          <w:highlight w:val="none"/>
        </w:rPr>
      </w:pPr>
      <w:r>
        <w:rPr>
          <w:rFonts w:hint="default" w:ascii="Times New Roman" w:hAnsi="Times New Roman" w:eastAsia="宋体" w:cs="Times New Roman"/>
          <w:bCs/>
          <w:sz w:val="24"/>
        </w:rPr>
        <w:t>为北京市重点站区管理委员会（简称“管委会”）提供全网舆情监测服务，服务内容包括人工预警、舆情报告、专项监测、舆论引导、数据统计等。监测渠道包括微信、微博、网页、短视频、论坛、报刊、APP、问答、头条号、搜狐号、广播电视，并在此基础上进行数据的抽取、挖掘、聚类和分析，用户可自助在全网监测平台进行舆情监测及信息查看。支持多组关键词与、或、非自由组合，对指定事件、人物、网站、地域、行业、领域等按类型监测。同时支持通过微信、短信、邮箱的形式7*24h自动化预警。</w:t>
      </w:r>
    </w:p>
    <w:p w14:paraId="2EE65969">
      <w:pPr>
        <w:pStyle w:val="2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Chars="0"/>
        <w:contextualSpacing/>
        <w:textAlignment w:val="auto"/>
        <w:rPr>
          <w:rFonts w:hint="default" w:ascii="Times New Roman" w:hAnsi="Times New Roman" w:eastAsia="宋体" w:cs="Times New Roman"/>
          <w:b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服务要求</w:t>
      </w:r>
    </w:p>
    <w:p w14:paraId="156D3CE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 xml:space="preserve">人工预警 </w:t>
      </w:r>
    </w:p>
    <w:p w14:paraId="746DDAA0">
      <w:pPr>
        <w:pStyle w:val="15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为北京市重点站区管理委员会统筹的八个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火车站地区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和两个机场提供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365天舆情预警服务，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由15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名以上经验丰富的网络舆情分析师组成的专业团队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7*24小时定制化舆情分析服务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，建立巡检组（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不少于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），巡检全网相关信息。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针对热点敏感舆情、重点关注的突发事件，持续报送汇总分析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620F271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1" w:name="_GoBack"/>
      <w:bookmarkEnd w:id="11"/>
      <w:r>
        <w:rPr>
          <w:rFonts w:hint="eastAsia" w:ascii="宋体" w:hAnsi="宋体" w:eastAsia="宋体" w:cs="宋体"/>
          <w:sz w:val="24"/>
          <w:szCs w:val="24"/>
          <w:highlight w:val="none"/>
        </w:rPr>
        <w:t>监测范围包括报、台、网、端，涵盖主流新闻网站、视频网站、平面媒体、论坛博客、境外媒体、微博、微信公众号、新闻客户端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等多种媒体类型。监测关键词超过3000个，监测信源类型超过10种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4AA9E07C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形式：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京办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群（必要时通过电话、短信形式进行舆情预警）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DC536FD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舆情日报</w:t>
      </w:r>
    </w:p>
    <w:p w14:paraId="244DDC80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每日对北京市重点站区管理委员会统筹的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八个火车站地区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和两个机场全网舆情进行概览，对传播情况、负面舆情事件、网络传播升量、相关政策及相关社会热点事件的监测与分析等。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负面事件进行罗列。具体分析维度可根据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实际工作需要进行灵活性调整。提交时间：每日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17：00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（提交时间可根据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需求进行必要调整）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数量：365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/>
        </w:rPr>
        <w:t>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。</w:t>
      </w:r>
    </w:p>
    <w:p w14:paraId="40A6A75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outlineLvl w:val="1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/>
        </w:rPr>
        <w:t>舆情月报</w:t>
      </w:r>
    </w:p>
    <w:p w14:paraId="45401305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每月对北京市重点站区管理委员会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统筹的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八个火车站地区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和两个机场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全网舆情进行概览，分析维度包含典型事件传播分析、负面事件传播分析、热点事件分析、月度全国相关热点事件复盘、国家相关政策及影响。同时对比上月舆情情况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/>
        </w:rPr>
        <w:t>进行分析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。并由专业舆情分析师针对相关舆情事件提出研判建议。执行过程中分析维度可根据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实际工作需要进行灵活调整。尽可能减少舆情事件的发生及发酵。提交时间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次月5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/>
        </w:rPr>
        <w:t>日内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/>
        </w:rPr>
        <w:t>遇节假日不顺延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）提交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。数量：12份</w:t>
      </w:r>
    </w:p>
    <w:p w14:paraId="15F55052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舆情半年报</w:t>
      </w:r>
    </w:p>
    <w:p w14:paraId="149330A6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针对北京市重点站区管理委员会统筹的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八个火车站地区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和两个机场半年舆情事件进行总结，盘点重要舆情事件，分析维度包含但不仅限于舆情总览、重点负面舆情分析、全网传播情况、他山之石、网民热门观点、研判建议等。同时对比去年同期的舆情情况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进行分析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。为下半年宣传工作做理论支持。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提交时间：7月10日前（上半年），遇节假日不顺延。数量：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份。</w:t>
      </w:r>
    </w:p>
    <w:p w14:paraId="324BFC21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（五）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舆情年报</w:t>
      </w:r>
    </w:p>
    <w:p w14:paraId="7829CAD4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针对北京市重点站区管理委员会统筹的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八个火车站地区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和两个机场全年的网络舆情事件进行复盘与总结，掌握相关舆情传播特点及传播情况，对于有影响力的舆情事件进行复盘分析，对一年的网络传播走势进行分析与总结，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同时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对比去年的同期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舆情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进行分析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。同时给予研判建议，对舆情风险点给出总结建议，为明年舆情预防做充足准备。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提交时间：1月10日前提交上一年度年报（遇节假日不顺延）。数量：1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/>
        </w:rPr>
        <w:t>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。</w:t>
      </w:r>
    </w:p>
    <w:p w14:paraId="3760B1E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（六）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舆情专报</w:t>
      </w:r>
    </w:p>
    <w:p w14:paraId="6B5A3C73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春运、五一、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端午、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暑运、十一等重要时间节点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提供专报服务，就整体舆情发展脉络进行梳理，对舆情走势进行分析，各平台传播特点及节点进行概述，并整理出本次事件发酵过程中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网民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的观点及评论，找出舆论引爆点，将以上内容进行可视化展示，给予研判建议和指导性意见，以防止类似舆情迸发。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数量：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不少于15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/>
        </w:rPr>
        <w:t>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。</w:t>
      </w:r>
    </w:p>
    <w:p w14:paraId="4FFF46D6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（七）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舆情快报</w:t>
      </w:r>
    </w:p>
    <w:p w14:paraId="1FA4394E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对于临时突发舆情事件，进行舆情快报服务，根据事件信息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体量及发酵情况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30-60分钟内提交报告，报告维度包含但不仅限于舆情概览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发酵情况简述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新闻资讯报送等。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数量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不少于15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0D7011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（八）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站办舆情分析年报</w:t>
      </w:r>
    </w:p>
    <w:p w14:paraId="311427C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要求针对北京市重点站区管理委员会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统筹的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八个火车站地区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和两个机场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管辖的北京站、北京西站、北京南站、北京北站、清河站、北京朝阳站、北京丰台站、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北京通州站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、大兴和首都机场，全面分析研判年度舆情态势，梳理优秀案例，点明存在不足，共8篇，要求202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年12月31日前完成交付。</w:t>
      </w:r>
    </w:p>
    <w:p w14:paraId="2C48DD17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（九）舆情专项监测服务</w:t>
      </w:r>
    </w:p>
    <w:p w14:paraId="33EFA75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针对突发事件、敏感舆情、特定时间、重大会议活动等时期，启动舆情专项监测服务，由3-4名经验丰富的高级网络舆情分析师组成专项监测服务小组，实行24小时应急机制，2人同时在岗，及时舆情预警，第一时间开展舆情研判。对突发舆情应对引导工作提出建议并全程跟踪，对应对引导效果进行评估分析，全年专项舆情监测服务不少于90天，形成事件专项报告不少于5份。</w:t>
      </w:r>
    </w:p>
    <w:p w14:paraId="6ABEC7FB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监测范围：实行2*12应急机制，2人同时在岗，持续12小时不间断监测，提供24小时全天候舆情监测，监测范围和数量不低于每日数据量1.5亿，新闻网站5000多家，数字报1400份，新闻客户端700多个，抖音号超2亿账号，微信公众号超4000万，微博号超1亿。</w:t>
      </w:r>
    </w:p>
    <w:p w14:paraId="521D27D9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服务时长：不少于90天。</w:t>
      </w:r>
    </w:p>
    <w:p w14:paraId="3F1EA84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（十）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舆论引导服务</w:t>
      </w:r>
    </w:p>
    <w:p w14:paraId="097ABF4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舆情团队与管委会宣传队伍有效互动，需要保证高效输出产品的质量，做到权威、及时、准确地发布政务政策，线上互动等，工作动态、能有效地传达相关工作，响应应急突发事件及时处理、保障运维平台达到基本宣传的要求，联合管委会宣传队伍全年累计不少于180次开展正面舆论引导，对冲负面影响。</w:t>
      </w:r>
    </w:p>
    <w:p w14:paraId="22D8EAD9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（十一）舆情数据分析统计</w:t>
      </w:r>
    </w:p>
    <w:p w14:paraId="5126A84E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按照采购人指定要求分类整理舆情事件数据，依据分类内容定期与采购人商议，并提出合理的建议。</w:t>
      </w:r>
    </w:p>
    <w:p w14:paraId="5D1A0047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（十二）项目执行监督</w:t>
      </w:r>
    </w:p>
    <w:p w14:paraId="0E6D5039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要求供应商每季度向采购人汇报本季度工作进展及合同履行进度，根据工作计划及时调整，保障合同严格执行。</w:t>
      </w:r>
    </w:p>
    <w:p w14:paraId="6C9D4C1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highlight w:val="none"/>
        </w:rPr>
        <w:t>、服务期限：</w:t>
      </w:r>
      <w:r>
        <w:rPr>
          <w:rFonts w:hint="default" w:ascii="Times New Roman" w:hAnsi="Times New Roman" w:eastAsia="宋体" w:cs="Times New Roman"/>
          <w:highlight w:val="none"/>
        </w:rPr>
        <w:t>自合同签订之日起至 2026年12月31日止。</w:t>
      </w:r>
    </w:p>
    <w:p w14:paraId="7C37D1DB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、资格条件</w:t>
      </w:r>
    </w:p>
    <w:p w14:paraId="31E3530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1.满足《中华人民共和国政府采购法》第二十二条规定；</w:t>
      </w:r>
    </w:p>
    <w:p w14:paraId="4D84E88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2.落实政府采购政策需满足的资格要求：</w:t>
      </w:r>
    </w:p>
    <w:p w14:paraId="7906DAB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2.1中小企业政策</w:t>
      </w:r>
    </w:p>
    <w:p w14:paraId="28B94AD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本项目不专门面向中小企业预留采购份额。</w:t>
      </w:r>
    </w:p>
    <w:p w14:paraId="55692DE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供应商不得被列入失信被执行人、重大税收违法案件当事人名单、政府采购严重违法失信行为记录名单。</w:t>
      </w:r>
    </w:p>
    <w:p w14:paraId="1983EC8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3.本项目的特定资格要求：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7236FAD3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、本项目采购标的所属行业</w:t>
      </w:r>
    </w:p>
    <w:p w14:paraId="37F076C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本项目采购标的属于《工业和信息化部、国家统计局、国家发展和改革委员会、财政部关于印发中小企业划型标准规定的通知》（工信部联企业[2011]300号）中的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（十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）软件和信息技术服务业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。</w:t>
      </w:r>
    </w:p>
    <w:p w14:paraId="1A611201">
      <w:pPr>
        <w:pStyle w:val="7"/>
        <w:ind w:firstLine="48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301CD5C8">
        <w:pPr>
          <w:pStyle w:val="1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A635A95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96D11">
    <w:pPr>
      <w:pStyle w:val="14"/>
      <w:pBdr>
        <w:bottom w:val="none" w:color="auto" w:sz="0" w:space="0"/>
      </w:pBdr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2E505F"/>
    <w:multiLevelType w:val="multilevel"/>
    <w:tmpl w:val="442E505F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520E97"/>
    <w:rsid w:val="00021A79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46452"/>
    <w:rsid w:val="00286DDD"/>
    <w:rsid w:val="002B303F"/>
    <w:rsid w:val="002B394E"/>
    <w:rsid w:val="002D57FA"/>
    <w:rsid w:val="003261C0"/>
    <w:rsid w:val="00331AD6"/>
    <w:rsid w:val="003764BA"/>
    <w:rsid w:val="00386B7C"/>
    <w:rsid w:val="003A6E74"/>
    <w:rsid w:val="003D507A"/>
    <w:rsid w:val="003F6334"/>
    <w:rsid w:val="00412195"/>
    <w:rsid w:val="00417550"/>
    <w:rsid w:val="00422521"/>
    <w:rsid w:val="00431364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435FB"/>
    <w:rsid w:val="00552E5E"/>
    <w:rsid w:val="00573663"/>
    <w:rsid w:val="00595A43"/>
    <w:rsid w:val="005B5ABA"/>
    <w:rsid w:val="005D029C"/>
    <w:rsid w:val="005D4865"/>
    <w:rsid w:val="005F0D6F"/>
    <w:rsid w:val="005F51FD"/>
    <w:rsid w:val="0063480F"/>
    <w:rsid w:val="00635AA7"/>
    <w:rsid w:val="00654513"/>
    <w:rsid w:val="00681001"/>
    <w:rsid w:val="00695B94"/>
    <w:rsid w:val="006B55AA"/>
    <w:rsid w:val="006C353D"/>
    <w:rsid w:val="006C43C6"/>
    <w:rsid w:val="00701AE1"/>
    <w:rsid w:val="007053B6"/>
    <w:rsid w:val="00791CD7"/>
    <w:rsid w:val="00795FAF"/>
    <w:rsid w:val="007C6F95"/>
    <w:rsid w:val="007C7F88"/>
    <w:rsid w:val="0080584D"/>
    <w:rsid w:val="0081212E"/>
    <w:rsid w:val="008428A9"/>
    <w:rsid w:val="00846892"/>
    <w:rsid w:val="00883708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21292"/>
    <w:rsid w:val="00A36940"/>
    <w:rsid w:val="00A376F4"/>
    <w:rsid w:val="00A44802"/>
    <w:rsid w:val="00A748B8"/>
    <w:rsid w:val="00B66B3D"/>
    <w:rsid w:val="00BA50C8"/>
    <w:rsid w:val="00BB1F96"/>
    <w:rsid w:val="00BD0256"/>
    <w:rsid w:val="00BF4C2C"/>
    <w:rsid w:val="00BF6803"/>
    <w:rsid w:val="00C22D9E"/>
    <w:rsid w:val="00C2385F"/>
    <w:rsid w:val="00C547F8"/>
    <w:rsid w:val="00C97203"/>
    <w:rsid w:val="00CC3AC2"/>
    <w:rsid w:val="00CC55CF"/>
    <w:rsid w:val="00D32460"/>
    <w:rsid w:val="00D455AA"/>
    <w:rsid w:val="00D61FF2"/>
    <w:rsid w:val="00D920AE"/>
    <w:rsid w:val="00D93348"/>
    <w:rsid w:val="00DB3EC1"/>
    <w:rsid w:val="00DD318F"/>
    <w:rsid w:val="00E22D3F"/>
    <w:rsid w:val="00E51731"/>
    <w:rsid w:val="00E71536"/>
    <w:rsid w:val="00EA5DF2"/>
    <w:rsid w:val="00EC163F"/>
    <w:rsid w:val="00EF5B38"/>
    <w:rsid w:val="00F2017D"/>
    <w:rsid w:val="00F4165B"/>
    <w:rsid w:val="00F6103C"/>
    <w:rsid w:val="00FC36DF"/>
    <w:rsid w:val="00FC6773"/>
    <w:rsid w:val="00FE0E8A"/>
    <w:rsid w:val="00FF6F46"/>
    <w:rsid w:val="02297BE6"/>
    <w:rsid w:val="03832336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D4C4B4D"/>
    <w:rsid w:val="0E1C10D1"/>
    <w:rsid w:val="0E6A782F"/>
    <w:rsid w:val="0F8A24E8"/>
    <w:rsid w:val="11034958"/>
    <w:rsid w:val="11A55826"/>
    <w:rsid w:val="12DE7825"/>
    <w:rsid w:val="13B741FE"/>
    <w:rsid w:val="152B6F63"/>
    <w:rsid w:val="15AB0ABB"/>
    <w:rsid w:val="15C0655C"/>
    <w:rsid w:val="1678078D"/>
    <w:rsid w:val="169E2C1C"/>
    <w:rsid w:val="171A2470"/>
    <w:rsid w:val="17B86896"/>
    <w:rsid w:val="17C97A33"/>
    <w:rsid w:val="194D1CB8"/>
    <w:rsid w:val="1A3D3E6B"/>
    <w:rsid w:val="1C0D66DB"/>
    <w:rsid w:val="1C2B0F99"/>
    <w:rsid w:val="1CA421BF"/>
    <w:rsid w:val="1DE62D5A"/>
    <w:rsid w:val="1F4B76D7"/>
    <w:rsid w:val="1FFF600B"/>
    <w:rsid w:val="200849D1"/>
    <w:rsid w:val="203527EC"/>
    <w:rsid w:val="21A70497"/>
    <w:rsid w:val="21B621E1"/>
    <w:rsid w:val="23287787"/>
    <w:rsid w:val="24DD6DCC"/>
    <w:rsid w:val="255045B2"/>
    <w:rsid w:val="26583F28"/>
    <w:rsid w:val="26D52E62"/>
    <w:rsid w:val="26E33204"/>
    <w:rsid w:val="27094443"/>
    <w:rsid w:val="2A5E1D27"/>
    <w:rsid w:val="2A8A2314"/>
    <w:rsid w:val="2AEE5863"/>
    <w:rsid w:val="2BB00137"/>
    <w:rsid w:val="2C68119F"/>
    <w:rsid w:val="2D7C3526"/>
    <w:rsid w:val="33353A31"/>
    <w:rsid w:val="344B1BCD"/>
    <w:rsid w:val="34DE5E29"/>
    <w:rsid w:val="355359F9"/>
    <w:rsid w:val="36EB75BC"/>
    <w:rsid w:val="37106F10"/>
    <w:rsid w:val="37DB3C9B"/>
    <w:rsid w:val="384A5821"/>
    <w:rsid w:val="3928593C"/>
    <w:rsid w:val="396F1C0A"/>
    <w:rsid w:val="3ADA6C48"/>
    <w:rsid w:val="3B5E2F7E"/>
    <w:rsid w:val="3D4C01F7"/>
    <w:rsid w:val="3DB85A64"/>
    <w:rsid w:val="3DC37382"/>
    <w:rsid w:val="3E5F40AD"/>
    <w:rsid w:val="40755777"/>
    <w:rsid w:val="410D2F57"/>
    <w:rsid w:val="41731A1B"/>
    <w:rsid w:val="41D25C46"/>
    <w:rsid w:val="42212242"/>
    <w:rsid w:val="426018CC"/>
    <w:rsid w:val="42DD4DF7"/>
    <w:rsid w:val="436D5DF7"/>
    <w:rsid w:val="43781E3C"/>
    <w:rsid w:val="44326014"/>
    <w:rsid w:val="44485A93"/>
    <w:rsid w:val="44692510"/>
    <w:rsid w:val="446C2633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9FD6207"/>
    <w:rsid w:val="4B364E98"/>
    <w:rsid w:val="4D747BBB"/>
    <w:rsid w:val="4DFD20AB"/>
    <w:rsid w:val="4E035902"/>
    <w:rsid w:val="4F3560FA"/>
    <w:rsid w:val="51B47B3D"/>
    <w:rsid w:val="530A70BE"/>
    <w:rsid w:val="540D44AF"/>
    <w:rsid w:val="551F5EFC"/>
    <w:rsid w:val="554020D6"/>
    <w:rsid w:val="5590755D"/>
    <w:rsid w:val="56B153BE"/>
    <w:rsid w:val="571D62CD"/>
    <w:rsid w:val="57697C23"/>
    <w:rsid w:val="59154166"/>
    <w:rsid w:val="595C703F"/>
    <w:rsid w:val="5B1433B1"/>
    <w:rsid w:val="5BD237B0"/>
    <w:rsid w:val="5CF714FC"/>
    <w:rsid w:val="5D437F7D"/>
    <w:rsid w:val="5E152203"/>
    <w:rsid w:val="5EEA72F8"/>
    <w:rsid w:val="5F805584"/>
    <w:rsid w:val="62800817"/>
    <w:rsid w:val="63443BFB"/>
    <w:rsid w:val="68613993"/>
    <w:rsid w:val="68E20CFD"/>
    <w:rsid w:val="69847B7E"/>
    <w:rsid w:val="6A731776"/>
    <w:rsid w:val="6AB158BE"/>
    <w:rsid w:val="6B3A5E90"/>
    <w:rsid w:val="6BB56CEE"/>
    <w:rsid w:val="6BDE0156"/>
    <w:rsid w:val="6C1907E6"/>
    <w:rsid w:val="6C3030F9"/>
    <w:rsid w:val="6CCE7C4E"/>
    <w:rsid w:val="6D3A1E4D"/>
    <w:rsid w:val="6DBE6C66"/>
    <w:rsid w:val="6F3B4DD8"/>
    <w:rsid w:val="6F814F0E"/>
    <w:rsid w:val="707D6EAA"/>
    <w:rsid w:val="70C774DA"/>
    <w:rsid w:val="71637FD2"/>
    <w:rsid w:val="719B2C89"/>
    <w:rsid w:val="73414B48"/>
    <w:rsid w:val="744768A8"/>
    <w:rsid w:val="76897E86"/>
    <w:rsid w:val="77C3378B"/>
    <w:rsid w:val="77CC6261"/>
    <w:rsid w:val="78243542"/>
    <w:rsid w:val="78A230DC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DED563A"/>
    <w:rsid w:val="7F275E1B"/>
    <w:rsid w:val="7FF470C5"/>
    <w:rsid w:val="9EFFF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link w:val="30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8">
    <w:name w:val="Body Text Indent"/>
    <w:basedOn w:val="1"/>
    <w:next w:val="9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9">
    <w:name w:val="Body Text First Indent 2"/>
    <w:basedOn w:val="8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Date"/>
    <w:basedOn w:val="1"/>
    <w:next w:val="1"/>
    <w:link w:val="32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2">
    <w:name w:val="Balloon Text"/>
    <w:basedOn w:val="1"/>
    <w:link w:val="37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index 9"/>
    <w:basedOn w:val="1"/>
    <w:next w:val="1"/>
    <w:qFormat/>
    <w:uiPriority w:val="99"/>
    <w:pPr>
      <w:ind w:left="1600" w:leftChars="1600"/>
    </w:pPr>
  </w:style>
  <w:style w:type="paragraph" w:styleId="16">
    <w:name w:val="HTML Preformatted"/>
    <w:basedOn w:val="1"/>
    <w:link w:val="29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27"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22"/>
    <w:rPr>
      <w:b/>
      <w:bCs/>
    </w:rPr>
  </w:style>
  <w:style w:type="character" w:styleId="23">
    <w:name w:val="annotation reference"/>
    <w:autoRedefine/>
    <w:semiHidden/>
    <w:qFormat/>
    <w:uiPriority w:val="99"/>
    <w:rPr>
      <w:sz w:val="21"/>
      <w:szCs w:val="21"/>
    </w:rPr>
  </w:style>
  <w:style w:type="character" w:customStyle="1" w:styleId="24">
    <w:name w:val="页眉 字符"/>
    <w:basedOn w:val="21"/>
    <w:link w:val="14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21"/>
    <w:link w:val="13"/>
    <w:autoRedefine/>
    <w:qFormat/>
    <w:uiPriority w:val="99"/>
    <w:rPr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标题 字符"/>
    <w:link w:val="18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8">
    <w:name w:val="标题 字符1"/>
    <w:basedOn w:val="21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HTML 预设格式 字符"/>
    <w:basedOn w:val="21"/>
    <w:link w:val="1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0">
    <w:name w:val="正文文本 字符"/>
    <w:basedOn w:val="21"/>
    <w:link w:val="6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2">
    <w:name w:val="日期 字符"/>
    <w:basedOn w:val="21"/>
    <w:link w:val="11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3">
    <w:name w:val="NormalCharacter"/>
    <w:autoRedefine/>
    <w:qFormat/>
    <w:uiPriority w:val="0"/>
  </w:style>
  <w:style w:type="paragraph" w:customStyle="1" w:styleId="34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6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7">
    <w:name w:val="批注框文本 字符"/>
    <w:basedOn w:val="21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8">
    <w:name w:val="样式4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3140</Words>
  <Characters>3421</Characters>
  <Lines>168</Lines>
  <Paragraphs>153</Paragraphs>
  <TotalTime>0</TotalTime>
  <ScaleCrop>false</ScaleCrop>
  <LinksUpToDate>false</LinksUpToDate>
  <CharactersWithSpaces>3567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2022-01-25T09:02:00Z</dcterms:created>
  <dc:creator>j4</dc:creator>
  <cp:lastModifiedBy>Lenovo</cp:lastModifiedBy>
  <cp:lastPrinted>2024-08-28T08:48:00Z</cp:lastPrinted>
  <dcterms:modified xsi:type="dcterms:W3CDTF">2025-12-12T00:55:07Z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3ECFA9D3DFC74702BA72747FB845DB4C_13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