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AA110">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2026年北京市重点站区管委会档案服务项目</w:t>
      </w:r>
    </w:p>
    <w:p w14:paraId="3CCCCC22">
      <w:pPr>
        <w:pStyle w:val="2"/>
        <w:rPr>
          <w:rFonts w:hint="eastAsia"/>
          <w:lang w:eastAsia="zh-CN"/>
        </w:rPr>
      </w:pPr>
    </w:p>
    <w:p w14:paraId="7DC507A5">
      <w:pPr>
        <w:rPr>
          <w:rFonts w:hint="eastAsia" w:ascii="宋体" w:hAnsi="宋体" w:eastAsia="宋体" w:cs="宋体"/>
          <w:b/>
          <w:bCs/>
          <w:sz w:val="24"/>
          <w:szCs w:val="24"/>
        </w:rPr>
      </w:pPr>
      <w:r>
        <w:rPr>
          <w:rFonts w:hint="eastAsia" w:ascii="宋体" w:hAnsi="宋体" w:eastAsia="宋体" w:cs="宋体"/>
          <w:b/>
          <w:bCs/>
          <w:sz w:val="24"/>
          <w:szCs w:val="24"/>
        </w:rPr>
        <w:t>附件一   报名材料：</w:t>
      </w:r>
    </w:p>
    <w:p w14:paraId="7432B277">
      <w:pPr>
        <w:spacing w:line="360" w:lineRule="auto"/>
        <w:rPr>
          <w:rFonts w:hint="eastAsia" w:ascii="宋体" w:hAnsi="宋体" w:eastAsia="宋体" w:cs="宋体"/>
          <w:b/>
          <w:sz w:val="24"/>
          <w:szCs w:val="24"/>
        </w:rPr>
      </w:pPr>
      <w:r>
        <w:rPr>
          <w:rFonts w:hint="eastAsia" w:ascii="宋体" w:hAnsi="宋体" w:eastAsia="宋体" w:cs="宋体"/>
          <w:b/>
          <w:sz w:val="24"/>
          <w:szCs w:val="24"/>
        </w:rPr>
        <w:t>（注：以下附件1至附件3为实质性条款，没有对此作出完全响应的供应商将被拒绝）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729"/>
        <w:gridCol w:w="1336"/>
        <w:gridCol w:w="1725"/>
        <w:gridCol w:w="1481"/>
      </w:tblGrid>
      <w:tr w14:paraId="2F1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01BD128D">
            <w:pPr>
              <w:pStyle w:val="25"/>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报名信息</w:t>
            </w:r>
          </w:p>
        </w:tc>
      </w:tr>
      <w:tr w14:paraId="73E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2B630698">
            <w:pPr>
              <w:pStyle w:val="25"/>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tc>
        <w:tc>
          <w:tcPr>
            <w:tcW w:w="1729" w:type="dxa"/>
          </w:tcPr>
          <w:p w14:paraId="5A9DA146">
            <w:pPr>
              <w:pStyle w:val="25"/>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联系人</w:t>
            </w:r>
          </w:p>
        </w:tc>
        <w:tc>
          <w:tcPr>
            <w:tcW w:w="1336" w:type="dxa"/>
          </w:tcPr>
          <w:p w14:paraId="70BDBDF4">
            <w:pPr>
              <w:pStyle w:val="25"/>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联系电话（手机号）</w:t>
            </w:r>
          </w:p>
        </w:tc>
        <w:tc>
          <w:tcPr>
            <w:tcW w:w="1725" w:type="dxa"/>
          </w:tcPr>
          <w:p w14:paraId="7E5D7F70">
            <w:pPr>
              <w:pStyle w:val="25"/>
              <w:jc w:val="center"/>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地址</w:t>
            </w:r>
          </w:p>
        </w:tc>
        <w:tc>
          <w:tcPr>
            <w:tcW w:w="1481" w:type="dxa"/>
          </w:tcPr>
          <w:p w14:paraId="76AA8ADC">
            <w:pPr>
              <w:pStyle w:val="25"/>
              <w:jc w:val="center"/>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邮箱</w:t>
            </w:r>
          </w:p>
        </w:tc>
      </w:tr>
      <w:tr w14:paraId="6323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477798B7">
            <w:pPr>
              <w:pStyle w:val="25"/>
              <w:jc w:val="center"/>
              <w:rPr>
                <w:rFonts w:hint="eastAsia" w:ascii="宋体" w:hAnsi="宋体" w:eastAsia="宋体" w:cs="宋体"/>
                <w:color w:val="auto"/>
                <w:sz w:val="24"/>
                <w:szCs w:val="24"/>
              </w:rPr>
            </w:pPr>
          </w:p>
        </w:tc>
        <w:tc>
          <w:tcPr>
            <w:tcW w:w="1729" w:type="dxa"/>
            <w:vAlign w:val="center"/>
          </w:tcPr>
          <w:p w14:paraId="1B5FB320">
            <w:pPr>
              <w:pStyle w:val="25"/>
              <w:jc w:val="center"/>
              <w:rPr>
                <w:rFonts w:hint="eastAsia" w:ascii="宋体" w:hAnsi="宋体" w:eastAsia="宋体" w:cs="宋体"/>
                <w:color w:val="auto"/>
                <w:kern w:val="0"/>
                <w:sz w:val="24"/>
                <w:szCs w:val="24"/>
                <w:shd w:val="clear" w:color="auto" w:fill="FFFFFF"/>
              </w:rPr>
            </w:pPr>
          </w:p>
        </w:tc>
        <w:tc>
          <w:tcPr>
            <w:tcW w:w="1336" w:type="dxa"/>
            <w:vAlign w:val="center"/>
          </w:tcPr>
          <w:p w14:paraId="34D7CCC3">
            <w:pPr>
              <w:pStyle w:val="25"/>
              <w:jc w:val="center"/>
              <w:rPr>
                <w:rFonts w:hint="eastAsia" w:ascii="宋体" w:hAnsi="宋体" w:eastAsia="宋体" w:cs="宋体"/>
                <w:color w:val="auto"/>
                <w:sz w:val="24"/>
                <w:szCs w:val="24"/>
              </w:rPr>
            </w:pPr>
          </w:p>
        </w:tc>
        <w:tc>
          <w:tcPr>
            <w:tcW w:w="1725" w:type="dxa"/>
            <w:vAlign w:val="center"/>
          </w:tcPr>
          <w:p w14:paraId="764C95DF">
            <w:pPr>
              <w:pStyle w:val="25"/>
              <w:jc w:val="center"/>
              <w:rPr>
                <w:rFonts w:hint="eastAsia" w:ascii="宋体" w:hAnsi="宋体" w:eastAsia="宋体" w:cs="宋体"/>
                <w:color w:val="auto"/>
                <w:sz w:val="24"/>
                <w:szCs w:val="24"/>
              </w:rPr>
            </w:pPr>
          </w:p>
        </w:tc>
        <w:tc>
          <w:tcPr>
            <w:tcW w:w="1481" w:type="dxa"/>
            <w:vAlign w:val="center"/>
          </w:tcPr>
          <w:p w14:paraId="5453A7DE">
            <w:pPr>
              <w:pStyle w:val="25"/>
              <w:jc w:val="center"/>
              <w:rPr>
                <w:rFonts w:hint="eastAsia" w:ascii="宋体" w:hAnsi="宋体" w:eastAsia="宋体" w:cs="宋体"/>
                <w:color w:val="auto"/>
                <w:sz w:val="24"/>
                <w:szCs w:val="24"/>
              </w:rPr>
            </w:pPr>
          </w:p>
        </w:tc>
      </w:tr>
      <w:tr w14:paraId="05F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735359AE">
            <w:pPr>
              <w:pStyle w:val="25"/>
              <w:rPr>
                <w:rFonts w:hint="eastAsia" w:ascii="宋体" w:hAnsi="宋体" w:eastAsia="宋体" w:cs="宋体"/>
                <w:color w:val="auto"/>
                <w:sz w:val="24"/>
                <w:szCs w:val="24"/>
              </w:rPr>
            </w:pPr>
            <w:r>
              <w:rPr>
                <w:rFonts w:hint="eastAsia" w:ascii="宋体" w:hAnsi="宋体" w:eastAsia="宋体" w:cs="宋体"/>
                <w:b/>
                <w:bCs/>
                <w:color w:val="auto"/>
                <w:sz w:val="24"/>
                <w:szCs w:val="24"/>
              </w:rPr>
              <w:t>注：请报名供应商填写以上信息。</w:t>
            </w:r>
          </w:p>
        </w:tc>
      </w:tr>
    </w:tbl>
    <w:p w14:paraId="54800516">
      <w:pPr>
        <w:pStyle w:val="25"/>
        <w:rPr>
          <w:rFonts w:hint="eastAsia" w:ascii="宋体" w:hAnsi="宋体" w:eastAsia="宋体" w:cs="宋体"/>
          <w:sz w:val="24"/>
          <w:szCs w:val="24"/>
        </w:rPr>
      </w:pPr>
    </w:p>
    <w:p w14:paraId="1B0242D1">
      <w:pPr>
        <w:pStyle w:val="25"/>
        <w:rPr>
          <w:rFonts w:hint="eastAsia" w:ascii="宋体" w:hAnsi="宋体" w:eastAsia="宋体" w:cs="宋体"/>
          <w:color w:val="auto"/>
          <w:sz w:val="24"/>
          <w:szCs w:val="24"/>
        </w:rPr>
      </w:pPr>
      <w:r>
        <w:rPr>
          <w:rFonts w:hint="eastAsia" w:ascii="宋体" w:hAnsi="宋体" w:eastAsia="宋体" w:cs="宋体"/>
          <w:color w:val="auto"/>
          <w:sz w:val="24"/>
          <w:szCs w:val="24"/>
        </w:rPr>
        <w:t>附件1 有效的营业执照</w:t>
      </w:r>
    </w:p>
    <w:p w14:paraId="292927AD">
      <w:pPr>
        <w:pStyle w:val="25"/>
        <w:rPr>
          <w:rFonts w:hint="eastAsia" w:ascii="宋体" w:hAnsi="宋体" w:eastAsia="宋体" w:cs="宋体"/>
          <w:color w:val="auto"/>
          <w:sz w:val="24"/>
          <w:szCs w:val="24"/>
        </w:rPr>
      </w:pPr>
      <w:r>
        <w:rPr>
          <w:rFonts w:hint="eastAsia" w:ascii="宋体" w:hAnsi="宋体" w:eastAsia="宋体" w:cs="宋体"/>
          <w:color w:val="auto"/>
          <w:sz w:val="24"/>
          <w:szCs w:val="24"/>
        </w:rPr>
        <w:t>附件2 法定代表人/负责人身份证明</w:t>
      </w:r>
    </w:p>
    <w:p w14:paraId="18BFDB6B">
      <w:pPr>
        <w:pStyle w:val="25"/>
        <w:rPr>
          <w:rFonts w:hint="eastAsia" w:ascii="宋体" w:hAnsi="宋体" w:eastAsia="宋体" w:cs="宋体"/>
          <w:color w:val="auto"/>
          <w:sz w:val="24"/>
          <w:szCs w:val="24"/>
        </w:rPr>
      </w:pPr>
      <w:r>
        <w:rPr>
          <w:rFonts w:hint="eastAsia" w:ascii="宋体" w:hAnsi="宋体" w:eastAsia="宋体" w:cs="宋体"/>
          <w:color w:val="auto"/>
          <w:sz w:val="24"/>
          <w:szCs w:val="24"/>
        </w:rPr>
        <w:t>附件3法定代表人/负责人授权书</w:t>
      </w:r>
    </w:p>
    <w:p w14:paraId="02813954">
      <w:pPr>
        <w:pStyle w:val="25"/>
        <w:rPr>
          <w:rFonts w:hint="eastAsia" w:ascii="宋体" w:hAnsi="宋体" w:eastAsia="宋体" w:cs="宋体"/>
          <w:strike/>
          <w:color w:val="auto"/>
          <w:sz w:val="24"/>
          <w:szCs w:val="24"/>
        </w:rPr>
      </w:pPr>
    </w:p>
    <w:p w14:paraId="68B1A842">
      <w:pPr>
        <w:rPr>
          <w:rFonts w:hint="eastAsia" w:ascii="宋体" w:hAnsi="宋体" w:eastAsia="宋体" w:cs="宋体"/>
          <w:b/>
          <w:bCs/>
          <w:sz w:val="24"/>
          <w:szCs w:val="24"/>
        </w:rPr>
      </w:pPr>
      <w:r>
        <w:rPr>
          <w:rFonts w:hint="eastAsia" w:ascii="宋体" w:hAnsi="宋体" w:eastAsia="宋体" w:cs="宋体"/>
          <w:b/>
          <w:bCs/>
          <w:sz w:val="24"/>
          <w:szCs w:val="24"/>
        </w:rPr>
        <w:br w:type="page"/>
      </w:r>
    </w:p>
    <w:p w14:paraId="05A6EF4A">
      <w:pPr>
        <w:pStyle w:val="25"/>
        <w:rPr>
          <w:rFonts w:hint="eastAsia" w:ascii="宋体" w:hAnsi="宋体" w:eastAsia="宋体" w:cs="宋体"/>
          <w:b/>
          <w:bCs/>
          <w:color w:val="auto"/>
          <w:sz w:val="24"/>
          <w:szCs w:val="24"/>
        </w:rPr>
      </w:pPr>
      <w:r>
        <w:rPr>
          <w:rFonts w:hint="eastAsia" w:ascii="宋体" w:hAnsi="宋体" w:eastAsia="宋体" w:cs="宋体"/>
          <w:b/>
          <w:bCs/>
          <w:color w:val="auto"/>
          <w:sz w:val="24"/>
          <w:szCs w:val="24"/>
        </w:rPr>
        <w:t>报名材料格式：</w:t>
      </w:r>
    </w:p>
    <w:p w14:paraId="3248751E">
      <w:pPr>
        <w:pStyle w:val="25"/>
        <w:rPr>
          <w:rFonts w:hint="eastAsia" w:ascii="宋体" w:hAnsi="宋体" w:eastAsia="宋体" w:cs="宋体"/>
          <w:color w:val="auto"/>
          <w:sz w:val="24"/>
          <w:szCs w:val="24"/>
        </w:rPr>
      </w:pPr>
      <w:bookmarkStart w:id="0" w:name="_Toc17461"/>
      <w:r>
        <w:rPr>
          <w:rFonts w:hint="eastAsia" w:ascii="宋体" w:hAnsi="宋体" w:eastAsia="宋体" w:cs="宋体"/>
          <w:color w:val="auto"/>
          <w:sz w:val="24"/>
          <w:szCs w:val="24"/>
        </w:rPr>
        <w:t>附件 1  有效的营业执照（复印件，须加盖供应商公章）</w:t>
      </w:r>
      <w:bookmarkEnd w:id="0"/>
    </w:p>
    <w:p w14:paraId="33A687DA">
      <w:pPr>
        <w:rPr>
          <w:rFonts w:hint="eastAsia" w:ascii="宋体" w:hAnsi="宋体" w:eastAsia="宋体" w:cs="宋体"/>
          <w:sz w:val="24"/>
          <w:szCs w:val="24"/>
        </w:rPr>
      </w:pPr>
    </w:p>
    <w:p w14:paraId="610A4864">
      <w:pPr>
        <w:rPr>
          <w:rFonts w:hint="eastAsia" w:ascii="宋体" w:hAnsi="宋体" w:eastAsia="宋体" w:cs="宋体"/>
          <w:sz w:val="24"/>
          <w:szCs w:val="24"/>
        </w:rPr>
      </w:pPr>
    </w:p>
    <w:p w14:paraId="42584B6A">
      <w:pPr>
        <w:rPr>
          <w:rFonts w:hint="eastAsia" w:ascii="宋体" w:hAnsi="宋体" w:eastAsia="宋体" w:cs="宋体"/>
          <w:sz w:val="24"/>
          <w:szCs w:val="24"/>
        </w:rPr>
      </w:pPr>
    </w:p>
    <w:p w14:paraId="2444BDC8">
      <w:pPr>
        <w:rPr>
          <w:rFonts w:hint="eastAsia" w:ascii="宋体" w:hAnsi="宋体" w:eastAsia="宋体" w:cs="宋体"/>
          <w:sz w:val="24"/>
          <w:szCs w:val="24"/>
        </w:rPr>
      </w:pPr>
    </w:p>
    <w:p w14:paraId="31D2F2C9">
      <w:pPr>
        <w:rPr>
          <w:rFonts w:hint="eastAsia" w:ascii="宋体" w:hAnsi="宋体" w:eastAsia="宋体" w:cs="宋体"/>
          <w:sz w:val="24"/>
          <w:szCs w:val="24"/>
        </w:rPr>
      </w:pPr>
    </w:p>
    <w:p w14:paraId="34D0B7BA">
      <w:pPr>
        <w:pStyle w:val="5"/>
        <w:rPr>
          <w:rFonts w:hint="eastAsia" w:ascii="宋体" w:hAnsi="宋体" w:eastAsia="宋体" w:cs="宋体"/>
          <w:sz w:val="24"/>
          <w:szCs w:val="24"/>
        </w:rPr>
      </w:pPr>
      <w:bookmarkStart w:id="1" w:name="_Toc421622105"/>
      <w:bookmarkStart w:id="2" w:name="_Toc495677503"/>
      <w:r>
        <w:rPr>
          <w:rFonts w:hint="eastAsia" w:ascii="宋体" w:hAnsi="宋体" w:eastAsia="宋体" w:cs="宋体"/>
          <w:sz w:val="24"/>
          <w:szCs w:val="24"/>
        </w:rPr>
        <w:br w:type="page"/>
      </w:r>
      <w:bookmarkStart w:id="3" w:name="_Toc4718"/>
      <w:bookmarkStart w:id="4" w:name="_Toc37675382"/>
      <w:bookmarkStart w:id="5" w:name="_Toc12784"/>
      <w:r>
        <w:rPr>
          <w:rFonts w:hint="eastAsia" w:ascii="宋体" w:hAnsi="宋体" w:eastAsia="宋体" w:cs="宋体"/>
          <w:sz w:val="24"/>
          <w:szCs w:val="24"/>
        </w:rPr>
        <w:t>附件 2  法定代表人/负责人身份证明(格式，原件)</w:t>
      </w:r>
      <w:bookmarkEnd w:id="1"/>
      <w:bookmarkEnd w:id="2"/>
      <w:bookmarkEnd w:id="3"/>
      <w:bookmarkEnd w:id="4"/>
      <w:bookmarkEnd w:id="5"/>
    </w:p>
    <w:p w14:paraId="0BFB30C6">
      <w:pPr>
        <w:pStyle w:val="10"/>
        <w:kinsoku w:val="0"/>
        <w:overflowPunct w:val="0"/>
        <w:autoSpaceDE w:val="0"/>
        <w:autoSpaceDN w:val="0"/>
        <w:spacing w:line="320" w:lineRule="exact"/>
        <w:ind w:firstLine="211"/>
        <w:rPr>
          <w:rFonts w:hint="eastAsia" w:ascii="宋体" w:hAnsi="宋体" w:eastAsia="宋体" w:cs="宋体"/>
          <w:b/>
          <w:kern w:val="0"/>
          <w:sz w:val="24"/>
          <w:szCs w:val="24"/>
        </w:rPr>
      </w:pPr>
    </w:p>
    <w:p w14:paraId="3163E30D">
      <w:pPr>
        <w:jc w:val="center"/>
        <w:rPr>
          <w:rFonts w:hint="eastAsia" w:ascii="宋体" w:hAnsi="宋体" w:eastAsia="宋体" w:cs="宋体"/>
          <w:b/>
          <w:sz w:val="24"/>
          <w:szCs w:val="24"/>
        </w:rPr>
      </w:pPr>
      <w:r>
        <w:rPr>
          <w:rFonts w:hint="eastAsia" w:ascii="宋体" w:hAnsi="宋体" w:eastAsia="宋体" w:cs="宋体"/>
          <w:b/>
          <w:sz w:val="24"/>
          <w:szCs w:val="24"/>
        </w:rPr>
        <w:t>法定代表人/负责人身份证明</w:t>
      </w:r>
    </w:p>
    <w:p w14:paraId="2D7B7F05">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供应商名称：</w:t>
      </w:r>
    </w:p>
    <w:p w14:paraId="66CECF2A">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单位性质：</w:t>
      </w:r>
    </w:p>
    <w:p w14:paraId="1E616E6D">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成立时间：   年    月     日</w:t>
      </w:r>
    </w:p>
    <w:p w14:paraId="2A1988C7">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姓名：         性别：           年龄：              职务：</w:t>
      </w:r>
    </w:p>
    <w:p w14:paraId="4C20A8E0">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的法定代表人/负责人。</w:t>
      </w:r>
    </w:p>
    <w:p w14:paraId="121C47AC">
      <w:pPr>
        <w:pStyle w:val="10"/>
        <w:spacing w:before="187" w:beforeLines="60" w:line="300" w:lineRule="auto"/>
        <w:ind w:firstLine="210"/>
        <w:rPr>
          <w:rFonts w:hint="eastAsia" w:ascii="宋体" w:hAnsi="宋体" w:eastAsia="宋体" w:cs="宋体"/>
          <w:sz w:val="24"/>
          <w:szCs w:val="24"/>
        </w:rPr>
      </w:pPr>
      <w:r>
        <w:rPr>
          <w:rFonts w:hint="eastAsia" w:ascii="宋体" w:hAnsi="宋体" w:eastAsia="宋体" w:cs="宋体"/>
          <w:sz w:val="24"/>
          <w:szCs w:val="24"/>
        </w:rPr>
        <w:t>特此证明。</w:t>
      </w:r>
    </w:p>
    <w:p w14:paraId="5D0FE817">
      <w:pPr>
        <w:pStyle w:val="10"/>
        <w:spacing w:before="187" w:beforeLines="60" w:line="300" w:lineRule="auto"/>
        <w:ind w:firstLine="210"/>
        <w:rPr>
          <w:rFonts w:hint="eastAsia" w:ascii="宋体" w:hAnsi="宋体" w:eastAsia="宋体" w:cs="宋体"/>
          <w:sz w:val="24"/>
          <w:szCs w:val="24"/>
        </w:rPr>
      </w:pPr>
    </w:p>
    <w:p w14:paraId="430A5857">
      <w:pPr>
        <w:pStyle w:val="10"/>
        <w:tabs>
          <w:tab w:val="left" w:pos="5580"/>
        </w:tabs>
        <w:spacing w:line="300" w:lineRule="auto"/>
        <w:ind w:firstLine="210"/>
        <w:rPr>
          <w:rFonts w:hint="eastAsia" w:ascii="宋体" w:hAnsi="宋体" w:eastAsia="宋体" w:cs="宋体"/>
          <w:sz w:val="24"/>
          <w:szCs w:val="24"/>
        </w:rPr>
      </w:pPr>
      <w:r>
        <w:rPr>
          <w:rFonts w:hint="eastAsia" w:ascii="宋体" w:hAnsi="宋体" w:eastAsia="宋体" w:cs="宋体"/>
          <w:sz w:val="24"/>
          <w:szCs w:val="24"/>
        </w:rPr>
        <w:t>附：法定代表人/负责人的身份证明：有效的身份证正反面复印件，或有效的护照复印件。</w:t>
      </w:r>
    </w:p>
    <w:p w14:paraId="7C2FE045">
      <w:pPr>
        <w:pStyle w:val="10"/>
        <w:tabs>
          <w:tab w:val="left" w:pos="5580"/>
        </w:tabs>
        <w:spacing w:line="300" w:lineRule="auto"/>
        <w:ind w:firstLine="210"/>
        <w:rPr>
          <w:rFonts w:hint="eastAsia" w:ascii="宋体" w:hAnsi="宋体" w:eastAsia="宋体" w:cs="宋体"/>
          <w:sz w:val="24"/>
          <w:szCs w:val="24"/>
        </w:rPr>
      </w:pPr>
    </w:p>
    <w:p w14:paraId="4D6A243B">
      <w:pPr>
        <w:pStyle w:val="10"/>
        <w:tabs>
          <w:tab w:val="left" w:pos="5580"/>
        </w:tabs>
        <w:spacing w:line="300" w:lineRule="auto"/>
        <w:ind w:firstLine="210"/>
        <w:rPr>
          <w:rFonts w:hint="eastAsia" w:ascii="宋体" w:hAnsi="宋体" w:eastAsia="宋体" w:cs="宋体"/>
          <w:sz w:val="24"/>
          <w:szCs w:val="24"/>
        </w:rPr>
      </w:pPr>
    </w:p>
    <w:p w14:paraId="54B528F5">
      <w:pPr>
        <w:pStyle w:val="10"/>
        <w:tabs>
          <w:tab w:val="left" w:pos="5580"/>
        </w:tabs>
        <w:spacing w:line="300" w:lineRule="auto"/>
        <w:ind w:firstLine="210"/>
        <w:rPr>
          <w:rFonts w:hint="eastAsia" w:ascii="宋体" w:hAnsi="宋体" w:eastAsia="宋体" w:cs="宋体"/>
          <w:sz w:val="24"/>
          <w:szCs w:val="24"/>
        </w:rPr>
      </w:pPr>
      <w:r>
        <w:rPr>
          <w:rFonts w:hint="eastAsia" w:ascii="宋体" w:hAnsi="宋体" w:eastAsia="宋体" w:cs="宋体"/>
          <w:sz w:val="24"/>
          <w:szCs w:val="24"/>
        </w:rPr>
        <w:t>供应商名称（盖章）：_________________________________</w:t>
      </w:r>
    </w:p>
    <w:p w14:paraId="79811795">
      <w:pPr>
        <w:pStyle w:val="10"/>
        <w:tabs>
          <w:tab w:val="left" w:pos="5580"/>
        </w:tabs>
        <w:spacing w:line="300" w:lineRule="auto"/>
        <w:ind w:firstLine="210"/>
        <w:rPr>
          <w:rFonts w:hint="eastAsia" w:ascii="宋体" w:hAnsi="宋体" w:eastAsia="宋体" w:cs="宋体"/>
          <w:sz w:val="24"/>
          <w:szCs w:val="24"/>
        </w:rPr>
      </w:pPr>
      <w:r>
        <w:rPr>
          <w:rFonts w:hint="eastAsia" w:ascii="宋体" w:hAnsi="宋体" w:eastAsia="宋体" w:cs="宋体"/>
          <w:sz w:val="24"/>
          <w:szCs w:val="24"/>
        </w:rPr>
        <w:t>日期：__________________</w:t>
      </w:r>
    </w:p>
    <w:p w14:paraId="753310B3">
      <w:pPr>
        <w:pStyle w:val="10"/>
        <w:spacing w:before="268" w:beforeLines="86" w:line="300" w:lineRule="auto"/>
        <w:ind w:firstLine="480" w:firstLineChars="200"/>
        <w:rPr>
          <w:rFonts w:hint="eastAsia" w:ascii="宋体" w:hAnsi="宋体" w:eastAsia="宋体" w:cs="宋体"/>
          <w:sz w:val="24"/>
          <w:szCs w:val="24"/>
        </w:rPr>
      </w:pPr>
    </w:p>
    <w:p w14:paraId="35F7CE71">
      <w:pPr>
        <w:pStyle w:val="37"/>
        <w:tabs>
          <w:tab w:val="left" w:pos="420"/>
          <w:tab w:val="left" w:pos="660"/>
        </w:tabs>
        <w:snapToGrid w:val="0"/>
        <w:spacing w:before="0" w:line="400" w:lineRule="exact"/>
        <w:ind w:left="0"/>
        <w:outlineLvl w:val="9"/>
        <w:rPr>
          <w:rFonts w:hint="eastAsia" w:ascii="宋体" w:hAnsi="宋体" w:eastAsia="宋体" w:cs="宋体"/>
          <w:color w:val="auto"/>
          <w:sz w:val="24"/>
          <w:szCs w:val="24"/>
        </w:rPr>
      </w:pPr>
    </w:p>
    <w:p w14:paraId="09A8020C">
      <w:pPr>
        <w:widowControl/>
        <w:jc w:val="left"/>
        <w:rPr>
          <w:rFonts w:hint="eastAsia" w:ascii="宋体" w:hAnsi="宋体" w:eastAsia="宋体" w:cs="宋体"/>
          <w:b/>
          <w:bCs/>
          <w:kern w:val="0"/>
          <w:sz w:val="24"/>
          <w:szCs w:val="24"/>
        </w:rPr>
      </w:pPr>
    </w:p>
    <w:p w14:paraId="0F966408">
      <w:pPr>
        <w:pStyle w:val="5"/>
        <w:rPr>
          <w:rFonts w:hint="eastAsia" w:ascii="宋体" w:hAnsi="宋体" w:eastAsia="宋体" w:cs="宋体"/>
          <w:b w:val="0"/>
          <w:sz w:val="24"/>
          <w:szCs w:val="24"/>
        </w:rPr>
      </w:pPr>
      <w:r>
        <w:rPr>
          <w:rFonts w:hint="eastAsia" w:ascii="宋体" w:hAnsi="宋体" w:eastAsia="宋体" w:cs="宋体"/>
          <w:sz w:val="24"/>
          <w:szCs w:val="24"/>
        </w:rPr>
        <w:br w:type="page"/>
      </w:r>
      <w:bookmarkStart w:id="6" w:name="_Toc37675383"/>
      <w:bookmarkStart w:id="7" w:name="_Toc29548"/>
      <w:bookmarkStart w:id="8" w:name="_Toc14596"/>
      <w:r>
        <w:rPr>
          <w:rFonts w:hint="eastAsia" w:ascii="宋体" w:hAnsi="宋体" w:eastAsia="宋体" w:cs="宋体"/>
          <w:sz w:val="24"/>
          <w:szCs w:val="24"/>
        </w:rPr>
        <w:t>附件 3  法定代表人/负责人授权书（格式，原件）</w:t>
      </w:r>
      <w:bookmarkEnd w:id="6"/>
      <w:bookmarkEnd w:id="7"/>
      <w:bookmarkEnd w:id="8"/>
    </w:p>
    <w:p w14:paraId="0426A4CB">
      <w:pPr>
        <w:pStyle w:val="10"/>
        <w:spacing w:before="268" w:beforeLines="86" w:line="300" w:lineRule="auto"/>
        <w:rPr>
          <w:rFonts w:hint="eastAsia" w:ascii="宋体" w:hAnsi="宋体" w:eastAsia="宋体" w:cs="宋体"/>
          <w:b/>
          <w:bCs/>
          <w:sz w:val="24"/>
          <w:szCs w:val="24"/>
        </w:rPr>
      </w:pPr>
      <w:r>
        <w:rPr>
          <w:rFonts w:hint="eastAsia" w:ascii="宋体" w:hAnsi="宋体" w:eastAsia="宋体" w:cs="宋体"/>
          <w:b/>
          <w:bCs/>
          <w:sz w:val="24"/>
          <w:szCs w:val="24"/>
        </w:rPr>
        <w:t>（非法定代表人/负责人签署报名材料的，应提交法定代表人/负责人授权书及其附件；若报名材料由法定代表人/负责人本人签署，则可不用提交。）</w:t>
      </w:r>
    </w:p>
    <w:p w14:paraId="54D9F605">
      <w:pPr>
        <w:pStyle w:val="10"/>
        <w:spacing w:before="268" w:beforeLines="86" w:line="300" w:lineRule="auto"/>
        <w:rPr>
          <w:rFonts w:hint="eastAsia" w:ascii="宋体" w:hAnsi="宋体" w:eastAsia="宋体" w:cs="宋体"/>
          <w:sz w:val="24"/>
          <w:szCs w:val="24"/>
        </w:rPr>
      </w:pPr>
    </w:p>
    <w:p w14:paraId="635F0453">
      <w:pPr>
        <w:jc w:val="center"/>
        <w:rPr>
          <w:rFonts w:hint="eastAsia" w:ascii="宋体" w:hAnsi="宋体" w:eastAsia="宋体" w:cs="宋体"/>
          <w:b/>
          <w:sz w:val="24"/>
          <w:szCs w:val="24"/>
        </w:rPr>
      </w:pPr>
      <w:bookmarkStart w:id="9" w:name="_Toc16007829"/>
      <w:r>
        <w:rPr>
          <w:rFonts w:hint="eastAsia" w:ascii="宋体" w:hAnsi="宋体" w:eastAsia="宋体" w:cs="宋体"/>
          <w:b/>
          <w:sz w:val="24"/>
          <w:szCs w:val="24"/>
        </w:rPr>
        <w:t>法定代表人/负责人授权书</w:t>
      </w:r>
      <w:bookmarkEnd w:id="9"/>
    </w:p>
    <w:p w14:paraId="7A1F5513">
      <w:pPr>
        <w:pStyle w:val="10"/>
        <w:spacing w:line="360" w:lineRule="auto"/>
        <w:ind w:firstLine="210"/>
        <w:rPr>
          <w:rFonts w:hint="eastAsia" w:ascii="宋体" w:hAnsi="宋体" w:eastAsia="宋体" w:cs="宋体"/>
          <w:sz w:val="24"/>
          <w:szCs w:val="24"/>
        </w:rPr>
      </w:pPr>
      <w:r>
        <w:rPr>
          <w:rFonts w:hint="eastAsia" w:ascii="宋体" w:hAnsi="宋体" w:eastAsia="宋体" w:cs="宋体"/>
          <w:sz w:val="24"/>
          <w:szCs w:val="24"/>
        </w:rPr>
        <w:t xml:space="preserve">    本授权书声明：注册于</w:t>
      </w:r>
      <w:r>
        <w:rPr>
          <w:rFonts w:hint="eastAsia" w:ascii="宋体" w:hAnsi="宋体" w:eastAsia="宋体" w:cs="宋体"/>
          <w:sz w:val="24"/>
          <w:szCs w:val="24"/>
          <w:u w:val="single"/>
        </w:rPr>
        <w:t xml:space="preserve">  （国家或地区的名称）   </w:t>
      </w:r>
      <w:r>
        <w:rPr>
          <w:rFonts w:hint="eastAsia" w:ascii="宋体" w:hAnsi="宋体" w:eastAsia="宋体" w:cs="宋体"/>
          <w:sz w:val="24"/>
          <w:szCs w:val="24"/>
        </w:rPr>
        <w:t>的</w:t>
      </w:r>
      <w:r>
        <w:rPr>
          <w:rFonts w:hint="eastAsia" w:ascii="宋体" w:hAnsi="宋体" w:eastAsia="宋体" w:cs="宋体"/>
          <w:sz w:val="24"/>
          <w:szCs w:val="24"/>
          <w:u w:val="single"/>
        </w:rPr>
        <w:t xml:space="preserve">   （公司名称）   </w:t>
      </w:r>
      <w:r>
        <w:rPr>
          <w:rFonts w:hint="eastAsia" w:ascii="宋体" w:hAnsi="宋体" w:eastAsia="宋体" w:cs="宋体"/>
          <w:sz w:val="24"/>
          <w:szCs w:val="24"/>
        </w:rPr>
        <w:t>的在下面签字或盖章的</w:t>
      </w:r>
      <w:r>
        <w:rPr>
          <w:rFonts w:hint="eastAsia" w:ascii="宋体" w:hAnsi="宋体" w:eastAsia="宋体" w:cs="宋体"/>
          <w:sz w:val="24"/>
          <w:szCs w:val="24"/>
          <w:u w:val="single"/>
        </w:rPr>
        <w:t xml:space="preserve">   （法定代表人/负责人姓名）   </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（公司名称） </w:t>
      </w:r>
      <w:r>
        <w:rPr>
          <w:rFonts w:hint="eastAsia" w:ascii="宋体" w:hAnsi="宋体" w:eastAsia="宋体" w:cs="宋体"/>
          <w:sz w:val="24"/>
          <w:szCs w:val="24"/>
        </w:rPr>
        <w:t xml:space="preserve">  的在下面签字或盖章的</w:t>
      </w:r>
      <w:r>
        <w:rPr>
          <w:rFonts w:hint="eastAsia" w:ascii="宋体" w:hAnsi="宋体" w:eastAsia="宋体" w:cs="宋体"/>
          <w:sz w:val="24"/>
          <w:szCs w:val="24"/>
          <w:u w:val="single"/>
        </w:rPr>
        <w:t xml:space="preserve">    （被授权人的姓名）    </w:t>
      </w:r>
      <w:r>
        <w:rPr>
          <w:rFonts w:hint="eastAsia" w:ascii="宋体" w:hAnsi="宋体" w:eastAsia="宋体" w:cs="宋体"/>
          <w:sz w:val="24"/>
          <w:szCs w:val="24"/>
        </w:rPr>
        <w:t>为本公司的合法代理人，就______________________________的比选，以本公司名义处理一切与之有关的事务。　　</w:t>
      </w:r>
    </w:p>
    <w:p w14:paraId="76BD5E9A">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本授权书于__________年_____月______日生效，特此声明。</w:t>
      </w:r>
    </w:p>
    <w:p w14:paraId="63C4D19C">
      <w:pPr>
        <w:pStyle w:val="10"/>
        <w:spacing w:before="187" w:beforeLines="60" w:line="360" w:lineRule="auto"/>
        <w:rPr>
          <w:rFonts w:hint="eastAsia" w:ascii="宋体" w:hAnsi="宋体" w:eastAsia="宋体" w:cs="宋体"/>
          <w:sz w:val="24"/>
          <w:szCs w:val="24"/>
        </w:rPr>
      </w:pPr>
    </w:p>
    <w:p w14:paraId="0EFC38C6">
      <w:pPr>
        <w:pStyle w:val="10"/>
        <w:spacing w:before="187" w:beforeLines="60" w:line="360" w:lineRule="auto"/>
        <w:rPr>
          <w:rFonts w:hint="eastAsia" w:ascii="宋体" w:hAnsi="宋体" w:eastAsia="宋体" w:cs="宋体"/>
          <w:sz w:val="24"/>
          <w:szCs w:val="24"/>
        </w:rPr>
      </w:pPr>
      <w:r>
        <w:rPr>
          <w:rFonts w:hint="eastAsia" w:ascii="宋体" w:hAnsi="宋体" w:eastAsia="宋体" w:cs="宋体"/>
          <w:sz w:val="24"/>
          <w:szCs w:val="24"/>
        </w:rPr>
        <w:t>法定代表人/负责人签字或盖章：_______________________________</w:t>
      </w:r>
    </w:p>
    <w:p w14:paraId="31C16263">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被授权人签字或盖章：_______________________________</w:t>
      </w:r>
    </w:p>
    <w:p w14:paraId="62177D4A">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公司盖章：_______________________________</w:t>
      </w:r>
    </w:p>
    <w:p w14:paraId="1F989CF3">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附：</w:t>
      </w:r>
    </w:p>
    <w:p w14:paraId="5D4C3AD7">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被授权人姓名：_______________</w:t>
      </w:r>
    </w:p>
    <w:p w14:paraId="14BA2C45">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职　　　　务：_______________</w:t>
      </w:r>
    </w:p>
    <w:p w14:paraId="1957BF8B">
      <w:pPr>
        <w:pStyle w:val="10"/>
        <w:spacing w:before="187" w:beforeLines="60" w:line="300" w:lineRule="auto"/>
        <w:rPr>
          <w:rFonts w:hint="eastAsia" w:ascii="宋体" w:hAnsi="宋体" w:eastAsia="宋体" w:cs="宋体"/>
          <w:sz w:val="24"/>
          <w:szCs w:val="24"/>
        </w:rPr>
      </w:pPr>
      <w:r>
        <w:rPr>
          <w:rFonts w:hint="eastAsia" w:ascii="宋体" w:hAnsi="宋体" w:eastAsia="宋体" w:cs="宋体"/>
          <w:sz w:val="24"/>
          <w:szCs w:val="24"/>
        </w:rPr>
        <w:t>电　　　　话：_______________</w:t>
      </w:r>
    </w:p>
    <w:p w14:paraId="1A22DB40">
      <w:pPr>
        <w:pStyle w:val="10"/>
        <w:spacing w:before="187" w:beforeLines="60" w:line="300" w:lineRule="auto"/>
        <w:rPr>
          <w:rFonts w:hint="eastAsia" w:ascii="宋体" w:hAnsi="宋体" w:eastAsia="宋体" w:cs="宋体"/>
          <w:sz w:val="24"/>
          <w:szCs w:val="24"/>
        </w:rPr>
      </w:pPr>
    </w:p>
    <w:p w14:paraId="025F4D40">
      <w:pPr>
        <w:pStyle w:val="25"/>
        <w:rPr>
          <w:rFonts w:hint="eastAsia" w:ascii="宋体" w:hAnsi="宋体" w:eastAsia="宋体" w:cs="宋体"/>
          <w:color w:val="auto"/>
          <w:sz w:val="24"/>
          <w:szCs w:val="24"/>
        </w:rPr>
      </w:pPr>
      <w:r>
        <w:rPr>
          <w:rFonts w:hint="eastAsia" w:ascii="宋体" w:hAnsi="宋体" w:eastAsia="宋体" w:cs="宋体"/>
          <w:color w:val="auto"/>
          <w:sz w:val="24"/>
          <w:szCs w:val="24"/>
        </w:rPr>
        <w:t>被授权人的身份证明：有效的身份证正反面复印件，或有效的护照复印件。</w:t>
      </w:r>
    </w:p>
    <w:p w14:paraId="2D2A3091">
      <w:pPr>
        <w:rPr>
          <w:rFonts w:hint="eastAsia" w:ascii="宋体" w:hAnsi="宋体" w:eastAsia="宋体" w:cs="宋体"/>
          <w:sz w:val="24"/>
          <w:szCs w:val="24"/>
        </w:rPr>
      </w:pPr>
    </w:p>
    <w:p w14:paraId="304AE78C">
      <w:pPr>
        <w:pStyle w:val="25"/>
        <w:rPr>
          <w:rFonts w:hint="eastAsia" w:ascii="宋体" w:hAnsi="宋体" w:eastAsia="宋体" w:cs="宋体"/>
          <w:sz w:val="24"/>
          <w:szCs w:val="24"/>
        </w:rPr>
      </w:pPr>
    </w:p>
    <w:p w14:paraId="2F5735C7">
      <w:pPr>
        <w:pStyle w:val="25"/>
        <w:rPr>
          <w:rFonts w:hint="eastAsia" w:ascii="宋体" w:hAnsi="宋体" w:eastAsia="宋体" w:cs="宋体"/>
          <w:sz w:val="24"/>
          <w:szCs w:val="24"/>
        </w:rPr>
      </w:pPr>
    </w:p>
    <w:p w14:paraId="15F8DDEF">
      <w:pPr>
        <w:pStyle w:val="25"/>
        <w:rPr>
          <w:rFonts w:hint="eastAsia" w:ascii="宋体" w:hAnsi="宋体" w:eastAsia="宋体" w:cs="宋体"/>
          <w:sz w:val="24"/>
          <w:szCs w:val="24"/>
        </w:rPr>
      </w:pPr>
    </w:p>
    <w:p w14:paraId="78342E90">
      <w:pPr>
        <w:pStyle w:val="25"/>
        <w:rPr>
          <w:rFonts w:hint="eastAsia" w:ascii="宋体" w:hAnsi="宋体" w:eastAsia="宋体" w:cs="宋体"/>
          <w:sz w:val="24"/>
          <w:szCs w:val="24"/>
        </w:rPr>
      </w:pPr>
    </w:p>
    <w:p w14:paraId="2DBE207E">
      <w:pPr>
        <w:pStyle w:val="2"/>
        <w:rPr>
          <w:rFonts w:hint="eastAsia" w:ascii="宋体" w:hAnsi="宋体" w:eastAsia="宋体" w:cs="宋体"/>
          <w:b/>
          <w:bCs w:val="0"/>
          <w:kern w:val="2"/>
          <w:sz w:val="24"/>
          <w:szCs w:val="24"/>
          <w:lang w:val="en-US" w:eastAsia="zh-CN" w:bidi="ar-SA"/>
        </w:rPr>
      </w:pPr>
      <w:r>
        <w:rPr>
          <w:rFonts w:hint="eastAsia" w:ascii="宋体" w:hAnsi="宋体" w:eastAsia="宋体" w:cs="宋体"/>
          <w:b/>
          <w:bCs/>
          <w:color w:val="000000"/>
          <w:kern w:val="0"/>
          <w:sz w:val="24"/>
          <w:szCs w:val="24"/>
          <w:shd w:val="clear" w:color="auto" w:fill="FFFFFF"/>
          <w:lang w:val="en-US" w:eastAsia="zh-CN"/>
        </w:rPr>
        <w:t xml:space="preserve">附件4 </w:t>
      </w:r>
      <w:bookmarkStart w:id="10" w:name="_Toc137542393"/>
      <w:bookmarkStart w:id="13" w:name="_GoBack"/>
      <w:bookmarkEnd w:id="13"/>
      <w:r>
        <w:rPr>
          <w:rFonts w:hint="eastAsia" w:ascii="宋体" w:hAnsi="宋体" w:eastAsia="宋体" w:cs="宋体"/>
          <w:b/>
          <w:bCs w:val="0"/>
          <w:kern w:val="2"/>
          <w:sz w:val="24"/>
          <w:szCs w:val="24"/>
          <w:lang w:val="en-US" w:eastAsia="zh-CN" w:bidi="ar-SA"/>
        </w:rPr>
        <w:t>合格的供应商</w:t>
      </w:r>
    </w:p>
    <w:p w14:paraId="1502C944">
      <w:pPr>
        <w:spacing w:line="276"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）满足《中华人民共和国政府采购法》第二十二条规定。</w:t>
      </w:r>
    </w:p>
    <w:p w14:paraId="26EFDF71">
      <w:pPr>
        <w:spacing w:line="276" w:lineRule="auto"/>
        <w:jc w:val="left"/>
        <w:rPr>
          <w:rFonts w:hint="eastAsia" w:ascii="宋体" w:hAnsi="宋体" w:eastAsia="宋体" w:cs="宋体"/>
          <w:sz w:val="24"/>
          <w:szCs w:val="24"/>
          <w:lang w:val="zh-CN"/>
        </w:rPr>
      </w:pPr>
      <w:bookmarkStart w:id="11" w:name="_Toc28359081"/>
      <w:bookmarkEnd w:id="11"/>
      <w:bookmarkStart w:id="12" w:name="_Hlk138750545"/>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w:t>
      </w:r>
      <w:bookmarkEnd w:id="12"/>
      <w:r>
        <w:rPr>
          <w:rFonts w:hint="eastAsia" w:ascii="宋体" w:hAnsi="宋体" w:eastAsia="宋体" w:cs="宋体"/>
          <w:sz w:val="24"/>
          <w:szCs w:val="24"/>
          <w:lang w:val="zh-CN"/>
        </w:rPr>
        <w:t>供应商必须在中华人民共和国境内注册，具有独立法人资格。</w:t>
      </w:r>
    </w:p>
    <w:p w14:paraId="5B5BAC32">
      <w:pPr>
        <w:spacing w:line="276"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）投标人参加本次采购活动前3年内在经营活动中没有重大违法记录以及没有受到行政处罚。</w:t>
      </w:r>
    </w:p>
    <w:p w14:paraId="66E9D234">
      <w:pPr>
        <w:spacing w:line="276"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）参与本项目</w:t>
      </w:r>
      <w:r>
        <w:rPr>
          <w:rFonts w:hint="eastAsia" w:ascii="宋体" w:hAnsi="宋体" w:eastAsia="宋体" w:cs="宋体"/>
          <w:sz w:val="24"/>
          <w:szCs w:val="24"/>
        </w:rPr>
        <w:t>比选</w:t>
      </w:r>
      <w:r>
        <w:rPr>
          <w:rFonts w:hint="eastAsia" w:ascii="宋体" w:hAnsi="宋体" w:eastAsia="宋体" w:cs="宋体"/>
          <w:sz w:val="24"/>
          <w:szCs w:val="24"/>
          <w:lang w:val="zh-CN"/>
        </w:rPr>
        <w:t>活动时不存在被有关部门禁止参与政府采购活动且在有效期内的情况。</w:t>
      </w:r>
    </w:p>
    <w:p w14:paraId="3331FF24">
      <w:pPr>
        <w:spacing w:line="276"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通过“信用中国”网站（www.creditchina.gov.cn），列入失信被执行人、重大税收违法案件当事人的供应商，以及在中国政府采购网（www.ccgp.gov.cn）网站被列入政府采购严重违法失信行为记录名单的供应商，没有资格参加本项目的比选。</w:t>
      </w:r>
    </w:p>
    <w:p w14:paraId="2015D149">
      <w:pPr>
        <w:spacing w:line="276" w:lineRule="auto"/>
        <w:jc w:val="left"/>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000AA2C2">
      <w:pPr>
        <w:spacing w:line="276"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）不允许转包、分包。</w:t>
      </w:r>
    </w:p>
    <w:p w14:paraId="116D4A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lang w:val="zh-CN"/>
        </w:rPr>
        <w:t>本项目不接受联合体</w:t>
      </w:r>
      <w:r>
        <w:rPr>
          <w:rFonts w:hint="eastAsia" w:ascii="宋体" w:hAnsi="宋体" w:eastAsia="宋体" w:cs="宋体"/>
          <w:sz w:val="24"/>
          <w:szCs w:val="24"/>
        </w:rPr>
        <w:t>参与</w:t>
      </w:r>
      <w:r>
        <w:rPr>
          <w:rFonts w:hint="eastAsia" w:ascii="宋体" w:hAnsi="宋体" w:eastAsia="宋体" w:cs="宋体"/>
          <w:sz w:val="24"/>
          <w:szCs w:val="24"/>
          <w:lang w:val="zh-CN"/>
        </w:rPr>
        <w:t>。</w:t>
      </w:r>
    </w:p>
    <w:p w14:paraId="094BAC6B">
      <w:pPr>
        <w:rPr>
          <w:rFonts w:hint="eastAsia" w:ascii="宋体" w:hAnsi="宋体" w:eastAsia="宋体" w:cs="宋体"/>
          <w:b/>
          <w:bCs w:val="0"/>
          <w:kern w:val="44"/>
          <w:sz w:val="24"/>
          <w:szCs w:val="24"/>
          <w:lang w:val="en-US" w:eastAsia="zh-CN"/>
        </w:rPr>
      </w:pPr>
      <w:r>
        <w:rPr>
          <w:rFonts w:hint="eastAsia" w:ascii="宋体" w:hAnsi="宋体" w:eastAsia="宋体" w:cs="宋体"/>
          <w:b/>
          <w:bCs w:val="0"/>
          <w:kern w:val="44"/>
          <w:sz w:val="24"/>
          <w:szCs w:val="24"/>
          <w:lang w:val="en-US" w:eastAsia="zh-CN"/>
        </w:rPr>
        <w:br w:type="page"/>
      </w:r>
    </w:p>
    <w:p w14:paraId="6289CB8C">
      <w:pPr>
        <w:pStyle w:val="2"/>
        <w:rPr>
          <w:rFonts w:hint="eastAsia"/>
          <w:lang w:val="en-US" w:eastAsia="zh-CN"/>
        </w:rPr>
      </w:pPr>
      <w:r>
        <w:rPr>
          <w:rFonts w:hint="eastAsia" w:ascii="宋体" w:hAnsi="宋体" w:eastAsia="宋体" w:cs="宋体"/>
          <w:b/>
          <w:bCs/>
          <w:color w:val="000000"/>
          <w:kern w:val="0"/>
          <w:sz w:val="24"/>
          <w:szCs w:val="24"/>
          <w:shd w:val="clear" w:color="auto" w:fill="FFFFFF"/>
          <w:lang w:val="en-US" w:eastAsia="zh-CN"/>
        </w:rPr>
        <w:t>附件</w:t>
      </w:r>
      <w:r>
        <w:rPr>
          <w:rFonts w:hint="eastAsia" w:ascii="宋体" w:hAnsi="宋体" w:cs="宋体"/>
          <w:b/>
          <w:bCs/>
          <w:color w:val="000000"/>
          <w:kern w:val="0"/>
          <w:sz w:val="24"/>
          <w:szCs w:val="24"/>
          <w:shd w:val="clear" w:color="auto" w:fill="FFFFFF"/>
          <w:lang w:val="en-US" w:eastAsia="zh-CN"/>
        </w:rPr>
        <w:t>5</w:t>
      </w:r>
      <w:r>
        <w:rPr>
          <w:rFonts w:hint="eastAsia" w:ascii="宋体" w:hAnsi="宋体" w:eastAsia="宋体" w:cs="宋体"/>
          <w:b/>
          <w:bCs/>
          <w:color w:val="000000"/>
          <w:kern w:val="0"/>
          <w:sz w:val="24"/>
          <w:szCs w:val="24"/>
          <w:shd w:val="clear" w:color="auto" w:fill="FFFFFF"/>
          <w:lang w:val="en-US" w:eastAsia="zh-CN"/>
        </w:rPr>
        <w:t xml:space="preserve"> 采购需求</w:t>
      </w:r>
    </w:p>
    <w:bookmarkEnd w:id="10"/>
    <w:p w14:paraId="2720C6AB">
      <w:pPr>
        <w:pageBreakBefore w:val="0"/>
        <w:widowControl w:val="0"/>
        <w:kinsoku/>
        <w:wordWrap/>
        <w:overflowPunct/>
        <w:topLinePunct w:val="0"/>
        <w:bidi w:val="0"/>
        <w:spacing w:before="62" w:line="360" w:lineRule="auto"/>
        <w:ind w:left="180"/>
        <w:jc w:val="lef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一、项目建设内容</w:t>
      </w:r>
    </w:p>
    <w:p w14:paraId="248F933F">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FFFFFF"/>
        </w:rPr>
        <w:t>2026年，档案工作将继续按照</w:t>
      </w:r>
      <w:r>
        <w:rPr>
          <w:rFonts w:hint="eastAsia" w:ascii="宋体" w:hAnsi="宋体" w:eastAsia="宋体" w:cs="宋体"/>
          <w:sz w:val="24"/>
          <w:szCs w:val="24"/>
          <w:highlight w:val="none"/>
        </w:rPr>
        <w:t>北京市重点站区</w:t>
      </w:r>
      <w:r>
        <w:rPr>
          <w:rFonts w:hint="eastAsia" w:ascii="宋体" w:hAnsi="宋体" w:eastAsia="宋体" w:cs="宋体"/>
          <w:sz w:val="24"/>
          <w:szCs w:val="24"/>
          <w:highlight w:val="none"/>
          <w:lang w:val="en-US" w:eastAsia="zh-CN"/>
        </w:rPr>
        <w:t>管理委员</w:t>
      </w:r>
      <w:r>
        <w:rPr>
          <w:rFonts w:hint="eastAsia" w:ascii="宋体" w:hAnsi="宋体" w:eastAsia="宋体" w:cs="宋体"/>
          <w:sz w:val="24"/>
          <w:szCs w:val="24"/>
          <w:highlight w:val="none"/>
        </w:rPr>
        <w:t>会（以下简称：管委会）</w:t>
      </w:r>
      <w:r>
        <w:rPr>
          <w:rFonts w:hint="eastAsia" w:ascii="宋体" w:hAnsi="宋体" w:eastAsia="宋体" w:cs="宋体"/>
          <w:color w:val="000000"/>
          <w:sz w:val="24"/>
          <w:szCs w:val="24"/>
          <w:highlight w:val="none"/>
          <w:shd w:val="clear" w:color="auto" w:fill="FFFFFF"/>
        </w:rPr>
        <w:t>党组的总体部署，持续巩固档案规范化建设成效，围绕管委会中心工作，服务站区发展，发挥档案工作的基础性支撑作用。在做好日常档案管理工作的基础上，统筹传统载体档案数字化工作。具体要求如下：</w:t>
      </w:r>
    </w:p>
    <w:p w14:paraId="0BD35167">
      <w:pPr>
        <w:pStyle w:val="2"/>
        <w:pageBreakBefore w:val="0"/>
        <w:widowControl w:val="0"/>
        <w:kinsoku/>
        <w:wordWrap/>
        <w:overflowPunct/>
        <w:topLinePunct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（一）对2025年形成的文书档案600000页、工程档案及工程图纸4500页进行数字化加工。</w:t>
      </w:r>
    </w:p>
    <w:p w14:paraId="5A53DC24">
      <w:pPr>
        <w:pStyle w:val="3"/>
        <w:pageBreakBefore w:val="0"/>
        <w:widowControl w:val="0"/>
        <w:kinsoku/>
        <w:wordWrap/>
        <w:overflowPunct/>
        <w:topLinePunct w:val="0"/>
        <w:bidi w:val="0"/>
        <w:spacing w:line="360" w:lineRule="auto"/>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（二）持续做好“存量数字化”工作，对部分历史存量档案150000页进行数字化扫描。</w:t>
      </w:r>
    </w:p>
    <w:p w14:paraId="5505803A">
      <w:pPr>
        <w:pStyle w:val="3"/>
        <w:pageBreakBefore w:val="0"/>
        <w:widowControl w:val="0"/>
        <w:kinsoku/>
        <w:wordWrap/>
        <w:overflowPunct/>
        <w:topLinePunct w:val="0"/>
        <w:bidi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（三）根据重点站区管委会对档案工作的要求，聘请具有档案专业资质人员 1 名及辅助人员 1 名。 按照管委会工作需要全年工作日驻场工作，协助管委会落实完成日常档案工作的开展，提供日常档案的运维服务。</w:t>
      </w:r>
    </w:p>
    <w:p w14:paraId="24881099">
      <w:pPr>
        <w:pageBreakBefore w:val="0"/>
        <w:widowControl w:val="0"/>
        <w:kinsoku/>
        <w:wordWrap/>
        <w:overflowPunct/>
        <w:topLinePunct w:val="0"/>
        <w:bidi w:val="0"/>
        <w:spacing w:before="62" w:line="360" w:lineRule="auto"/>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二、档案整理及数字化加工技术业务要求</w:t>
      </w:r>
    </w:p>
    <w:p w14:paraId="33653A77">
      <w:pPr>
        <w:pStyle w:val="5"/>
        <w:pageBreakBefore w:val="0"/>
        <w:widowControl w:val="0"/>
        <w:kinsoku/>
        <w:wordWrap/>
        <w:overflowPunct/>
        <w:topLinePunct w:val="0"/>
        <w:bidi w:val="0"/>
        <w:spacing w:beforeLines="50" w:afterLines="50"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（一）总体实施要求</w:t>
      </w:r>
    </w:p>
    <w:p w14:paraId="623BF653">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1、成交供应商需自行提供档案数字化技术所需软件系统，包括档案登记、档案扫描、著录标引、图文质检、备份恢复等功能模块。必须保证扫描的档案电子数据完全符合</w:t>
      </w:r>
      <w:r>
        <w:rPr>
          <w:rFonts w:hint="eastAsia" w:ascii="宋体" w:hAnsi="宋体" w:eastAsia="宋体" w:cs="宋体"/>
          <w:sz w:val="24"/>
          <w:szCs w:val="24"/>
          <w:highlight w:val="none"/>
          <w:lang w:eastAsia="zh-CN"/>
        </w:rPr>
        <w:t>北京市重点站区管理委员会</w:t>
      </w:r>
      <w:r>
        <w:rPr>
          <w:rFonts w:hint="eastAsia" w:ascii="宋体" w:hAnsi="宋体" w:eastAsia="宋体" w:cs="宋体"/>
          <w:sz w:val="24"/>
          <w:szCs w:val="24"/>
          <w:highlight w:val="none"/>
        </w:rPr>
        <w:t>的档案影像管理系统数据格式要求，并能实时准确的导入到相应的系统中，以便推进档案数字化管理，实现档案信息资源的科学管理和高效利用。</w:t>
      </w:r>
    </w:p>
    <w:p w14:paraId="426AAF73">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2、按照国家及北京市档案整理、著录、纸质档案数字化等国家和行业标准执行。</w:t>
      </w:r>
    </w:p>
    <w:p w14:paraId="1E788495">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3、提供有丰富的档案管理经验的项目小组进行全过程的管理监控。</w:t>
      </w:r>
    </w:p>
    <w:p w14:paraId="4A96E95D">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4、在档案加工期间应按岗位明确岗位职责，制订员工工作纪律；加强档案接收、交接、整理、扫描、数据使用等环节管控，确保档案安全、工作质量和工作进度。</w:t>
      </w:r>
    </w:p>
    <w:p w14:paraId="6B5E4028">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5、在档案整理数字化过程中应避免或减少对档案实体的破坏，最大程度地维持档案原貌；应保证档案原件的安全，不能损毁任何档案原件。</w:t>
      </w:r>
    </w:p>
    <w:p w14:paraId="1654C0AB">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6、加工场地、水电、桌椅、网络环境及加工耗材由</w:t>
      </w:r>
      <w:r>
        <w:rPr>
          <w:rFonts w:hint="eastAsia" w:ascii="宋体" w:hAnsi="宋体" w:eastAsia="宋体" w:cs="宋体"/>
          <w:sz w:val="24"/>
          <w:szCs w:val="24"/>
          <w:highlight w:val="none"/>
          <w:lang w:eastAsia="zh-CN"/>
        </w:rPr>
        <w:t>北京市重点站区管理委员会</w:t>
      </w:r>
      <w:r>
        <w:rPr>
          <w:rFonts w:hint="eastAsia" w:ascii="宋体" w:hAnsi="宋体" w:eastAsia="宋体" w:cs="宋体"/>
          <w:sz w:val="24"/>
          <w:szCs w:val="24"/>
          <w:highlight w:val="none"/>
        </w:rPr>
        <w:t>提供，成交供应商需组织人员、加工设备进行电子档案加工。</w:t>
      </w:r>
    </w:p>
    <w:p w14:paraId="6F43C9B0">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7、必须严格遵守</w:t>
      </w:r>
      <w:r>
        <w:rPr>
          <w:rFonts w:hint="eastAsia" w:ascii="宋体" w:hAnsi="宋体" w:eastAsia="宋体" w:cs="宋体"/>
          <w:sz w:val="24"/>
          <w:szCs w:val="24"/>
          <w:highlight w:val="none"/>
          <w:lang w:eastAsia="zh-CN"/>
        </w:rPr>
        <w:t>北京市重点站区管理委员会</w:t>
      </w:r>
      <w:r>
        <w:rPr>
          <w:rFonts w:hint="eastAsia" w:ascii="宋体" w:hAnsi="宋体" w:eastAsia="宋体" w:cs="宋体"/>
          <w:sz w:val="24"/>
          <w:szCs w:val="24"/>
          <w:highlight w:val="none"/>
        </w:rPr>
        <w:t>的相关保密、安全管理规定。</w:t>
      </w:r>
    </w:p>
    <w:p w14:paraId="1A33FF02">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8、提供完整的实施方案和项目管理办法；项目实施中要引入风险管理、质量管理、成本管理；建立突发情况的及时响应制度，例如日常批量调用档案，导致工期延长的补救措施等。</w:t>
      </w:r>
    </w:p>
    <w:p w14:paraId="67836E10">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9、鉴于档案的特殊性，</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应提供详细的保密措施和办法，在制度和手段上确保档案信息不外泄，不丢失，不传播。在实施中必须做好保密工作，不得将加工过程中获知的档案信息泄密或用于其他用途。</w:t>
      </w:r>
    </w:p>
    <w:p w14:paraId="70ABC227">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10、在实施过程中，禁止采用自有加工设备存储档案数据。</w:t>
      </w:r>
    </w:p>
    <w:p w14:paraId="73DDFB04">
      <w:pPr>
        <w:pStyle w:val="5"/>
        <w:pageBreakBefore w:val="0"/>
        <w:widowControl w:val="0"/>
        <w:kinsoku/>
        <w:wordWrap/>
        <w:overflowPunct/>
        <w:topLinePunct w:val="0"/>
        <w:bidi w:val="0"/>
        <w:spacing w:beforeLines="50" w:afterLines="50"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（二）档案整理及数字化加工技术要求</w:t>
      </w:r>
    </w:p>
    <w:p w14:paraId="03CCB0F6">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根据以下加工技术要求完成</w:t>
      </w:r>
      <w:r>
        <w:rPr>
          <w:rFonts w:hint="eastAsia" w:ascii="宋体" w:hAnsi="宋体" w:eastAsia="宋体" w:cs="宋体"/>
          <w:sz w:val="24"/>
          <w:szCs w:val="24"/>
          <w:highlight w:val="none"/>
          <w:lang w:eastAsia="zh-CN"/>
        </w:rPr>
        <w:t>北京市重点站区管理委员会</w:t>
      </w:r>
      <w:r>
        <w:rPr>
          <w:rFonts w:hint="eastAsia" w:ascii="宋体" w:hAnsi="宋体" w:eastAsia="宋体" w:cs="宋体"/>
          <w:sz w:val="24"/>
          <w:szCs w:val="24"/>
          <w:highlight w:val="none"/>
        </w:rPr>
        <w:t>档案整理及数字化处理工作，工作内容包括档案整理、档案扫描、图像处理、影像质检、建立索引、装订还原、档案归还、档案装盒、档案上架、数据比对、数据挂接。</w:t>
      </w:r>
    </w:p>
    <w:p w14:paraId="500042C8">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档案整理：工作人员对准备扫描的纸质档案进行检查，查看标注信息是否完整，确保文件扫描过程不缺页、漏页，文件装订不发生错误；查看档案纸张、装订的物理状况，对扫描方式提出建议；梳理需要进行备份的目录，提出备份要求。</w:t>
      </w:r>
    </w:p>
    <w:p w14:paraId="50671FCF">
      <w:pPr>
        <w:pageBreakBefore w:val="0"/>
        <w:widowControl w:val="0"/>
        <w:kinsoku/>
        <w:wordWrap/>
        <w:overflowPunct/>
        <w:topLinePunct w:val="0"/>
        <w:autoSpaceDN w:val="0"/>
        <w:bidi w:val="0"/>
        <w:spacing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2、档案扫描：</w:t>
      </w:r>
    </w:p>
    <w:p w14:paraId="467B2EBC">
      <w:pPr>
        <w:pageBreakBefore w:val="0"/>
        <w:widowControl w:val="0"/>
        <w:numPr>
          <w:ilvl w:val="0"/>
          <w:numId w:val="2"/>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数字化要求扫描后的图像字迹清晰，内容完整；采用黑白二值图像模式扫描时，分辨率应不小于300dpi。采用彩色模式扫描时，分辨率应不小于300dpi。</w:t>
      </w:r>
    </w:p>
    <w:p w14:paraId="1BC929F0">
      <w:pPr>
        <w:pageBreakBefore w:val="0"/>
        <w:widowControl w:val="0"/>
        <w:numPr>
          <w:ilvl w:val="0"/>
          <w:numId w:val="2"/>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扫描方式：根据档案幅面的大小（A4、A3、A2、A1、A0、不规则图纸），选择相应规格的扫描仪进行扫描；当纸张状况较差，过薄、过软或超厚的文件，采用平板扫描或非接触扫描方式；纸张拆装后可能无法复原的，采用非拆装接触扫描方式；纸张状况好的采用高速扫描方式以提高工作效率。</w:t>
      </w:r>
    </w:p>
    <w:p w14:paraId="2B8ED6F9">
      <w:pPr>
        <w:pageBreakBefore w:val="0"/>
        <w:widowControl w:val="0"/>
        <w:numPr>
          <w:ilvl w:val="0"/>
          <w:numId w:val="2"/>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存储格式：图像存储为TIFF、JPEG、PDF格式。</w:t>
      </w:r>
    </w:p>
    <w:p w14:paraId="61F14D45">
      <w:pPr>
        <w:pageBreakBefore w:val="0"/>
        <w:widowControl w:val="0"/>
        <w:numPr>
          <w:ilvl w:val="0"/>
          <w:numId w:val="2"/>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图像文件命名：扫描后的图像文件命名应和对应档案的档号保持一致。</w:t>
      </w:r>
    </w:p>
    <w:p w14:paraId="117EDC24">
      <w:pPr>
        <w:pageBreakBefore w:val="0"/>
        <w:widowControl w:val="0"/>
        <w:numPr>
          <w:ilvl w:val="0"/>
          <w:numId w:val="2"/>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殊情况处理：当扫描无法保证图像整体清晰时，应通过调整技术参数确保档案主要内容清晰。对大幅面的档案进行分幅扫描时，应使各分幅尺寸相近、技术参数一致，相邻图像之间必须有部分重叠，重叠面积应达到各分幅面积的5%及以上。</w:t>
      </w:r>
    </w:p>
    <w:p w14:paraId="1824346C">
      <w:pPr>
        <w:pageBreakBefore w:val="0"/>
        <w:widowControl w:val="0"/>
        <w:kinsoku/>
        <w:wordWrap/>
        <w:overflowPunct/>
        <w:topLinePunct w:val="0"/>
        <w:autoSpaceDN w:val="0"/>
        <w:bidi w:val="0"/>
        <w:spacing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3、图像处理：</w:t>
      </w:r>
    </w:p>
    <w:p w14:paraId="70F22AD3">
      <w:pPr>
        <w:pageBreakBefore w:val="0"/>
        <w:widowControl w:val="0"/>
        <w:numPr>
          <w:ilvl w:val="0"/>
          <w:numId w:val="3"/>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方向调整：应对方向不正确的图像进行旋转还原。</w:t>
      </w:r>
    </w:p>
    <w:p w14:paraId="41CFB5E0">
      <w:pPr>
        <w:pageBreakBefore w:val="0"/>
        <w:widowControl w:val="0"/>
        <w:numPr>
          <w:ilvl w:val="0"/>
          <w:numId w:val="3"/>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纠偏：应对偏斜的图像进行纠偏处理，以达到视觉上基本感觉不偏斜为准，偏斜不宜超过3度。</w:t>
      </w:r>
    </w:p>
    <w:p w14:paraId="215EDA0D">
      <w:pPr>
        <w:pageBreakBefore w:val="0"/>
        <w:widowControl w:val="0"/>
        <w:numPr>
          <w:ilvl w:val="0"/>
          <w:numId w:val="3"/>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去污：应对在扫描过程中产生的污线、污点、黑边等影响图像质量的杂质进行去污处理。去污过程中，不能删除档案内容信息。</w:t>
      </w:r>
    </w:p>
    <w:p w14:paraId="6781CCD1">
      <w:pPr>
        <w:pageBreakBefore w:val="0"/>
        <w:widowControl w:val="0"/>
        <w:numPr>
          <w:ilvl w:val="0"/>
          <w:numId w:val="3"/>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图像拼接：对大幅面的档案进行分幅扫描后形成的多幅图像，应进行拼接处理，合并为一个完整的图像。拼接时应确保拼接处平滑地融合，拼接后整幅图像无明显拼接痕迹。</w:t>
      </w:r>
    </w:p>
    <w:p w14:paraId="6B4404EF">
      <w:pPr>
        <w:pageBreakBefore w:val="0"/>
        <w:widowControl w:val="0"/>
        <w:kinsoku/>
        <w:wordWrap/>
        <w:overflowPunct/>
        <w:topLinePunct w:val="0"/>
        <w:autoSpaceDN w:val="0"/>
        <w:bidi w:val="0"/>
        <w:spacing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4、影像质检：</w:t>
      </w:r>
    </w:p>
    <w:p w14:paraId="0082DD9E">
      <w:pPr>
        <w:pageBreakBefore w:val="0"/>
        <w:widowControl w:val="0"/>
        <w:numPr>
          <w:ilvl w:val="0"/>
          <w:numId w:val="4"/>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目录数据质量检查：应对目录数据库著录项目的完整性、著录内容的规范性进行检查，对质量不合格的目录数据进行修改或重新著录。</w:t>
      </w:r>
    </w:p>
    <w:p w14:paraId="68435181">
      <w:pPr>
        <w:pageBreakBefore w:val="0"/>
        <w:widowControl w:val="0"/>
        <w:numPr>
          <w:ilvl w:val="0"/>
          <w:numId w:val="4"/>
        </w:numPr>
        <w:kinsoku/>
        <w:wordWrap/>
        <w:overflowPunct/>
        <w:topLinePunct w:val="0"/>
        <w:autoSpaceDN w:val="0"/>
        <w:bidi w:val="0"/>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图像质量检查：应对扫描处理后的图像是否清晰、完整进行检查。遗漏的应进行补扫；不符合质量要求的图像，应重新进行处理或重扫。</w:t>
      </w:r>
    </w:p>
    <w:p w14:paraId="325FD8CB">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5、建立索引：材料原件扫描、图像处理、图像质检后，扫描人员应将提交成功后的档案成批交到著录人员建立索引目录。</w:t>
      </w:r>
    </w:p>
    <w:p w14:paraId="6FB85650">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装订还原：材料原件扫描、图像处理、图像质检后，材料装订人员需要逐卷装订拆分的案卷，要按照原样恢复所有装订的案卷，保证重新装订后的案卷不压字。装订后的材料经过质检验收合格后交还用户方相关负责人员进行装盒工作，装盒结束后，再由装订人员粘贴卷盒脊背信息。处理完每一卷（件）材料后，需要在《流程记录单》上填写材料装订相关信息（如装订人、装订时间）。</w:t>
      </w:r>
    </w:p>
    <w:p w14:paraId="295D45DC">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7、档案归还：验收合格的案卷，须归还到指定的地点，入库时要认真清点核对所提交的案卷数量（份数）。确保出入库情况记录完整、规范。</w:t>
      </w:r>
    </w:p>
    <w:p w14:paraId="2A6BDD9D">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8、档案装盒：已完成材料原件扫描、图像处理、图像质检的档案，须进行档案装盒和封装操作。</w:t>
      </w:r>
    </w:p>
    <w:p w14:paraId="2791FF83">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9、档案上架：已完成档案装盒的档案，须按照采购方要求进行档案上架操作。</w:t>
      </w:r>
    </w:p>
    <w:p w14:paraId="501D95F5">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数据比对：成交供应商须对照纸质档案实体逐页审核图像的质量、完整性，防止出现漏扫或扫描顺序不对的情况。对于图像偏斜度较大的图像及时进行图像纠偏工作，对失真度较高的图像进行重新扫描，确保图像的利用价值。</w:t>
      </w:r>
    </w:p>
    <w:p w14:paraId="21E328D7">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数据挂接：材料原件扫描、图像处理、图像质检合格后，数据挂接人员需要建立档案材料目录信息与扫描图像文件的关联关系。成交供应商应具备完整的数据挂接方案，包括数据挂接前的技术准备、数据挂接的实施和数据挂接后的核查。</w:t>
      </w:r>
    </w:p>
    <w:p w14:paraId="1CE95F7B">
      <w:pPr>
        <w:pageBreakBefore w:val="0"/>
        <w:widowControl w:val="0"/>
        <w:kinsoku/>
        <w:wordWrap/>
        <w:overflowPunct/>
        <w:topLinePunct w:val="0"/>
        <w:bidi w:val="0"/>
        <w:spacing w:before="62" w:line="360" w:lineRule="auto"/>
        <w:ind w:left="18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三、其他要求</w:t>
      </w:r>
    </w:p>
    <w:p w14:paraId="2F0027C6">
      <w:pPr>
        <w:pStyle w:val="5"/>
        <w:pageBreakBefore w:val="0"/>
        <w:widowControl w:val="0"/>
        <w:kinsoku/>
        <w:wordWrap/>
        <w:overflowPunct/>
        <w:topLinePunct w:val="0"/>
        <w:bidi w:val="0"/>
        <w:spacing w:before="0"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1、项目建设地点</w:t>
      </w:r>
    </w:p>
    <w:p w14:paraId="2CBFC5E8">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项目建设及实施在</w:t>
      </w:r>
      <w:r>
        <w:rPr>
          <w:rFonts w:hint="eastAsia" w:ascii="宋体" w:hAnsi="宋体" w:eastAsia="宋体" w:cs="宋体"/>
          <w:sz w:val="24"/>
          <w:szCs w:val="24"/>
          <w:highlight w:val="none"/>
          <w:lang w:eastAsia="zh-CN"/>
        </w:rPr>
        <w:t>北京市重点站区管理委员会</w:t>
      </w:r>
      <w:r>
        <w:rPr>
          <w:rFonts w:hint="eastAsia" w:ascii="宋体" w:hAnsi="宋体" w:eastAsia="宋体" w:cs="宋体"/>
          <w:sz w:val="24"/>
          <w:szCs w:val="24"/>
          <w:highlight w:val="none"/>
        </w:rPr>
        <w:t>认可或指定的场地进行并提供项目实施所需的加工场地、水电、桌椅及网络环境。</w:t>
      </w:r>
    </w:p>
    <w:p w14:paraId="07FAE210">
      <w:pPr>
        <w:pStyle w:val="5"/>
        <w:pageBreakBefore w:val="0"/>
        <w:widowControl w:val="0"/>
        <w:kinsoku/>
        <w:wordWrap/>
        <w:overflowPunct/>
        <w:topLinePunct w:val="0"/>
        <w:bidi w:val="0"/>
        <w:spacing w:before="0"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2、服务期限</w:t>
      </w:r>
    </w:p>
    <w:p w14:paraId="3B72BCDF">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2026年1月1日起至2026年12月31日止。</w:t>
      </w:r>
    </w:p>
    <w:p w14:paraId="206D344B">
      <w:pPr>
        <w:pStyle w:val="5"/>
        <w:pageBreakBefore w:val="0"/>
        <w:widowControl w:val="0"/>
        <w:kinsoku/>
        <w:wordWrap/>
        <w:overflowPunct/>
        <w:topLinePunct w:val="0"/>
        <w:bidi w:val="0"/>
        <w:spacing w:before="0"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3、生产工具要求</w:t>
      </w:r>
    </w:p>
    <w:p w14:paraId="12ABC2D4">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（1）硬件要求：</w:t>
      </w:r>
    </w:p>
    <w:p w14:paraId="72406975">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所需数字化扫描加工工具全部由供应商自行提供，以满足数字化处理要求，包括但不限于高速滚筒扫描仪、平板扫描仪、服务器、台式机、刻录机、移动硬盘、光盘存储介质等设备。供应商必须在投标文件中明确列出提供的设备清单，并在合同签订后2周内全部部署到位。</w:t>
      </w:r>
    </w:p>
    <w:p w14:paraId="090F9577">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（2）数字加工软件要求：</w:t>
      </w:r>
    </w:p>
    <w:p w14:paraId="42416579">
      <w:pPr>
        <w:pageBreakBefore w:val="0"/>
        <w:widowControl w:val="0"/>
        <w:numPr>
          <w:ilvl w:val="0"/>
          <w:numId w:val="5"/>
        </w:numPr>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应能够对该档案的基本信息进行自动核对；</w:t>
      </w:r>
    </w:p>
    <w:p w14:paraId="352E5DA7">
      <w:pPr>
        <w:pageBreakBefore w:val="0"/>
        <w:widowControl w:val="0"/>
        <w:numPr>
          <w:ilvl w:val="0"/>
          <w:numId w:val="5"/>
        </w:numPr>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能够实现对电子图片的质量修改及加工（如纠偏，裁剪，除噪点等），并且能确保其排列顺序与实体档案的流水页码一一对应；</w:t>
      </w:r>
    </w:p>
    <w:p w14:paraId="34CF126E">
      <w:pPr>
        <w:pageBreakBefore w:val="0"/>
        <w:widowControl w:val="0"/>
        <w:numPr>
          <w:ilvl w:val="0"/>
          <w:numId w:val="5"/>
        </w:numPr>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能够对案卷的电子图片进行保存并且备份，确保数据的安全性，完整性；</w:t>
      </w:r>
    </w:p>
    <w:p w14:paraId="74E54C21">
      <w:pPr>
        <w:pageBreakBefore w:val="0"/>
        <w:widowControl w:val="0"/>
        <w:numPr>
          <w:ilvl w:val="0"/>
          <w:numId w:val="5"/>
        </w:numPr>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生产过程中，可根据档案资料的各项基本信息对已经扫描完成但尚未著录的档案资料进行查询；</w:t>
      </w:r>
    </w:p>
    <w:p w14:paraId="0D34F443">
      <w:pPr>
        <w:pageBreakBefore w:val="0"/>
        <w:widowControl w:val="0"/>
        <w:numPr>
          <w:ilvl w:val="0"/>
          <w:numId w:val="5"/>
        </w:numPr>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支持必要软件核对功能以保证生产过程中所有录入信息的正确无误；</w:t>
      </w:r>
    </w:p>
    <w:p w14:paraId="345A58F4">
      <w:pPr>
        <w:pageBreakBefore w:val="0"/>
        <w:widowControl w:val="0"/>
        <w:numPr>
          <w:ilvl w:val="0"/>
          <w:numId w:val="5"/>
        </w:numPr>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生产软件能够根据录入信息内容的需要进行自定义，并且对录入信息进行新增、修改和删除操作。</w:t>
      </w:r>
    </w:p>
    <w:p w14:paraId="6E65FBA3">
      <w:pPr>
        <w:pStyle w:val="5"/>
        <w:pageBreakBefore w:val="0"/>
        <w:widowControl w:val="0"/>
        <w:kinsoku/>
        <w:wordWrap/>
        <w:overflowPunct/>
        <w:topLinePunct w:val="0"/>
        <w:bidi w:val="0"/>
        <w:spacing w:before="0"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4、价格报价方式</w:t>
      </w:r>
    </w:p>
    <w:p w14:paraId="0A47D51B">
      <w:pPr>
        <w:pStyle w:val="2"/>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档案整理及数字化加工技术工作分项报价方式：根据档案类别分别列出每类档案整理著录、数字化加工等费用的单价。</w:t>
      </w:r>
    </w:p>
    <w:p w14:paraId="6052F3D5">
      <w:pPr>
        <w:pStyle w:val="5"/>
        <w:pageBreakBefore w:val="0"/>
        <w:widowControl w:val="0"/>
        <w:numPr>
          <w:ilvl w:val="0"/>
          <w:numId w:val="6"/>
        </w:numPr>
        <w:kinsoku/>
        <w:wordWrap/>
        <w:overflowPunct/>
        <w:topLinePunct w:val="0"/>
        <w:bidi w:val="0"/>
        <w:spacing w:before="0"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安全要求</w:t>
      </w:r>
    </w:p>
    <w:p w14:paraId="177BFD24">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档案原件在扫描加工过程必须保证原件无破损、无遗失，装订还原准确率达到100％。</w:t>
      </w:r>
    </w:p>
    <w:p w14:paraId="505F0930">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纸质档案数字化的各个环节均应进行详细的登记，并及时整理、汇总，装订成册，在数字化工作完成的同时建立起完整、规范的记录。</w:t>
      </w:r>
    </w:p>
    <w:p w14:paraId="2058FDD4">
      <w:pPr>
        <w:pStyle w:val="5"/>
        <w:pageBreakBefore w:val="0"/>
        <w:widowControl w:val="0"/>
        <w:kinsoku/>
        <w:wordWrap/>
        <w:overflowPunct/>
        <w:topLinePunct w:val="0"/>
        <w:bidi w:val="0"/>
        <w:spacing w:before="0"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6、保密要求</w:t>
      </w:r>
    </w:p>
    <w:p w14:paraId="739FF69E">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（1）档案整理及数字化技术工作必须在</w:t>
      </w:r>
      <w:r>
        <w:rPr>
          <w:rFonts w:hint="eastAsia" w:ascii="宋体" w:hAnsi="宋体" w:eastAsia="宋体" w:cs="宋体"/>
          <w:sz w:val="24"/>
          <w:szCs w:val="24"/>
          <w:highlight w:val="none"/>
          <w:lang w:eastAsia="zh-CN"/>
        </w:rPr>
        <w:t>北京市重点站区管理委员会</w:t>
      </w:r>
      <w:r>
        <w:rPr>
          <w:rFonts w:hint="eastAsia" w:ascii="宋体" w:hAnsi="宋体" w:eastAsia="宋体" w:cs="宋体"/>
          <w:sz w:val="24"/>
          <w:szCs w:val="24"/>
          <w:highlight w:val="none"/>
        </w:rPr>
        <w:t>指定的场地进行。</w:t>
      </w:r>
    </w:p>
    <w:p w14:paraId="5C09663D">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必须严格遵守国家、省、市档案保密制度及国家其他相关保密法规，必须釆取措施对本项目加工过程中的档案实体和数据保密，并签订保密协议。并且不得截留和向第三方泄露所涉及的档案、资料的范围、内容及最终形成的各类数据，确保档案信息的安全保密，如有违反，依法追究责任。</w:t>
      </w:r>
    </w:p>
    <w:p w14:paraId="50C17523">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鉴于北京市重点站区管理委员会档案的保密特性，供应商须对北京市重点站区管理委员会的档案扫描加工过程中履行保密责任。</w:t>
      </w:r>
    </w:p>
    <w:p w14:paraId="1CE87FFF">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供应商应根据本项目编制的保密方案，须具有合理的保密措施。</w:t>
      </w:r>
    </w:p>
    <w:p w14:paraId="1D9E1F7C">
      <w:pPr>
        <w:pStyle w:val="5"/>
        <w:pageBreakBefore w:val="0"/>
        <w:widowControl w:val="0"/>
        <w:numPr>
          <w:ilvl w:val="1"/>
          <w:numId w:val="0"/>
        </w:numPr>
        <w:kinsoku/>
        <w:wordWrap/>
        <w:overflowPunct/>
        <w:topLinePunct w:val="0"/>
        <w:bidi w:val="0"/>
        <w:spacing w:before="2"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7、人员要求</w:t>
      </w:r>
    </w:p>
    <w:p w14:paraId="2884D5BC">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本项目时间紧，任务重，供应商必须以类似案例成果和相关专业团队为基础，确保项目按期保质保量完成。</w:t>
      </w:r>
    </w:p>
    <w:p w14:paraId="05D7D276">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及时向用户提供工程管理人员和技术人员配置情况，供应商需指派固定的项目小组负责本项目工作，提供项目小组关键技术人员名单，项目小组人员一经确定，在项目实施过程如需更换，应征得采购人的同意。</w:t>
      </w:r>
    </w:p>
    <w:p w14:paraId="4CC02490">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供应商成立数字化工作小组驻场开展工作，驻场人数应保持在最低2人并且能够根据项目进展情况迅速增补到位。实施参与此项目的人员须具有类似工作经验，能够与政府用户及合作伙伴进行良好的沟通，具备档案数字化服务能力。项目经理、项目现场负责人和骨干人员应具有2年以上同类工作经验。</w:t>
      </w:r>
    </w:p>
    <w:p w14:paraId="20F5473B">
      <w:pPr>
        <w:pStyle w:val="5"/>
        <w:pageBreakBefore w:val="0"/>
        <w:widowControl w:val="0"/>
        <w:numPr>
          <w:ilvl w:val="1"/>
          <w:numId w:val="0"/>
        </w:numPr>
        <w:kinsoku/>
        <w:wordWrap/>
        <w:overflowPunct/>
        <w:topLinePunct w:val="0"/>
        <w:bidi w:val="0"/>
        <w:spacing w:before="2"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8、工程进度计划安排</w:t>
      </w:r>
    </w:p>
    <w:p w14:paraId="3BD9AF35">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项目完成时间要求：项目签订合同12个月内完成历史档案数字化加工服务及驻场服务。</w:t>
      </w:r>
    </w:p>
    <w:p w14:paraId="5186837F">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供应商须对上述建设进度计划工期要求做实质性响应，供应商应满足本招标文件进度要求，填写如下的进度表，或采用以月为单位的甘特图。</w:t>
      </w:r>
    </w:p>
    <w:p w14:paraId="2BC99DE9">
      <w:pPr>
        <w:pStyle w:val="2"/>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项目时间进度表</w:t>
      </w:r>
    </w:p>
    <w:tbl>
      <w:tblPr>
        <w:tblStyle w:val="20"/>
        <w:tblW w:w="86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6"/>
        <w:gridCol w:w="2482"/>
        <w:gridCol w:w="2059"/>
        <w:gridCol w:w="1937"/>
      </w:tblGrid>
      <w:tr w14:paraId="20FB8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vAlign w:val="center"/>
          </w:tcPr>
          <w:p w14:paraId="4B47844A">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2482" w:type="dxa"/>
            <w:tcBorders>
              <w:top w:val="single" w:color="auto" w:sz="4" w:space="0"/>
              <w:left w:val="single" w:color="auto" w:sz="4" w:space="0"/>
              <w:bottom w:val="single" w:color="auto" w:sz="4" w:space="0"/>
              <w:right w:val="single" w:color="auto" w:sz="4" w:space="0"/>
            </w:tcBorders>
            <w:vAlign w:val="center"/>
          </w:tcPr>
          <w:p w14:paraId="36AFEA37">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tc>
        <w:tc>
          <w:tcPr>
            <w:tcW w:w="2059" w:type="dxa"/>
            <w:tcBorders>
              <w:top w:val="single" w:color="auto" w:sz="4" w:space="0"/>
              <w:left w:val="single" w:color="auto" w:sz="4" w:space="0"/>
              <w:bottom w:val="single" w:color="auto" w:sz="4" w:space="0"/>
              <w:right w:val="single" w:color="auto" w:sz="4" w:space="0"/>
            </w:tcBorders>
            <w:vAlign w:val="center"/>
          </w:tcPr>
          <w:p w14:paraId="28F95F65">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开始时间</w:t>
            </w:r>
          </w:p>
        </w:tc>
        <w:tc>
          <w:tcPr>
            <w:tcW w:w="1937" w:type="dxa"/>
            <w:tcBorders>
              <w:top w:val="single" w:color="auto" w:sz="4" w:space="0"/>
              <w:left w:val="single" w:color="auto" w:sz="4" w:space="0"/>
              <w:bottom w:val="single" w:color="auto" w:sz="4" w:space="0"/>
              <w:right w:val="single" w:color="auto" w:sz="4" w:space="0"/>
            </w:tcBorders>
            <w:vAlign w:val="center"/>
          </w:tcPr>
          <w:p w14:paraId="2F48ECA4">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完成时间</w:t>
            </w:r>
          </w:p>
        </w:tc>
      </w:tr>
      <w:tr w14:paraId="30AD2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4A7BE7CC">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4F1D0E0D">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p>
        </w:tc>
        <w:tc>
          <w:tcPr>
            <w:tcW w:w="2059" w:type="dxa"/>
            <w:tcBorders>
              <w:top w:val="single" w:color="auto" w:sz="4" w:space="0"/>
              <w:left w:val="single" w:color="auto" w:sz="4" w:space="0"/>
              <w:bottom w:val="single" w:color="auto" w:sz="4" w:space="0"/>
              <w:right w:val="single" w:color="auto" w:sz="4" w:space="0"/>
            </w:tcBorders>
            <w:vAlign w:val="center"/>
          </w:tcPr>
          <w:p w14:paraId="3F38E51E">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14:paraId="5665E8EA">
            <w:pPr>
              <w:pageBreakBefore w:val="0"/>
              <w:widowControl w:val="0"/>
              <w:kinsoku/>
              <w:wordWrap/>
              <w:overflowPunct/>
              <w:topLinePunct w:val="0"/>
              <w:autoSpaceDN w:val="0"/>
              <w:bidi w:val="0"/>
              <w:spacing w:line="360" w:lineRule="auto"/>
              <w:ind w:firstLine="480" w:firstLineChars="200"/>
              <w:jc w:val="left"/>
              <w:textAlignment w:val="auto"/>
              <w:rPr>
                <w:rFonts w:hint="eastAsia" w:ascii="宋体" w:hAnsi="宋体" w:eastAsia="宋体" w:cs="宋体"/>
                <w:sz w:val="24"/>
                <w:szCs w:val="24"/>
                <w:highlight w:val="none"/>
              </w:rPr>
            </w:pPr>
          </w:p>
        </w:tc>
      </w:tr>
    </w:tbl>
    <w:p w14:paraId="27A28B7E">
      <w:pPr>
        <w:pStyle w:val="5"/>
        <w:pageBreakBefore w:val="0"/>
        <w:widowControl w:val="0"/>
        <w:numPr>
          <w:ilvl w:val="1"/>
          <w:numId w:val="0"/>
        </w:numPr>
        <w:kinsoku/>
        <w:wordWrap/>
        <w:overflowPunct/>
        <w:topLinePunct w:val="0"/>
        <w:bidi w:val="0"/>
        <w:spacing w:before="2" w:line="360" w:lineRule="auto"/>
        <w:ind w:left="420" w:left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9、项目验收</w:t>
      </w:r>
    </w:p>
    <w:p w14:paraId="775CE88D">
      <w:pPr>
        <w:pStyle w:val="2"/>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（1）数据抽检</w:t>
      </w:r>
    </w:p>
    <w:p w14:paraId="5E914B27">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以抽检方式检查目录数据库、图像文件、数据挂接的质量以及数字化工作记录是否完整等。一个批次数据抽检的比率应达到数字化总页数的5%以上(含5%)。</w:t>
      </w:r>
    </w:p>
    <w:p w14:paraId="7D230E23">
      <w:pPr>
        <w:pStyle w:val="2"/>
        <w:pageBreakBefore w:val="0"/>
        <w:widowControl w:val="0"/>
        <w:kinsoku/>
        <w:wordWrap/>
        <w:overflowPunct/>
        <w:topLinePunct w:val="0"/>
        <w:bidi w:val="0"/>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（2）验收指标</w:t>
      </w:r>
    </w:p>
    <w:p w14:paraId="08C12A22">
      <w:pPr>
        <w:pStyle w:val="2"/>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当目录数据录入有错误或图像文件不完整、不清晰或目录数据与图像文件挂接错误时，确定为“不合格”。统计“不合格”的页数。抽检合格的页数=抽检页总数－抽检不合格的页数，合格率=抽检合格的页数/抽检页总数×100%。合格率应达到99.7%以上（含99.7%）。数字化工作记录应完整。</w:t>
      </w:r>
    </w:p>
    <w:p w14:paraId="456673B6">
      <w:pPr>
        <w:pStyle w:val="2"/>
        <w:pageBreakBefore w:val="0"/>
        <w:widowControl w:val="0"/>
        <w:numPr>
          <w:ilvl w:val="0"/>
          <w:numId w:val="7"/>
        </w:numPr>
        <w:kinsoku/>
        <w:wordWrap/>
        <w:overflowPunct/>
        <w:topLinePunct w:val="0"/>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成交供应商应承诺配合采购人完成上级单位定期对本单位纸质档案数字化工作进行的检查或验收工作，并配合完成整改。</w:t>
      </w:r>
    </w:p>
    <w:p w14:paraId="36A3242A">
      <w:pPr>
        <w:pStyle w:val="3"/>
        <w:pageBreakBefore w:val="0"/>
        <w:widowControl w:val="0"/>
        <w:numPr>
          <w:ilvl w:val="0"/>
          <w:numId w:val="8"/>
        </w:numPr>
        <w:kinsoku/>
        <w:wordWrap/>
        <w:overflowPunct/>
        <w:topLinePunct w:val="0"/>
        <w:bidi w:val="0"/>
        <w:spacing w:line="360" w:lineRule="auto"/>
        <w:ind w:firstLine="482"/>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其他要求</w:t>
      </w:r>
    </w:p>
    <w:p w14:paraId="53FCC0AC">
      <w:pPr>
        <w:pStyle w:val="18"/>
        <w:rPr>
          <w:rFonts w:hint="eastAsia" w:ascii="宋体" w:hAnsi="宋体" w:eastAsia="宋体" w:cs="宋体"/>
          <w:sz w:val="24"/>
          <w:szCs w:val="24"/>
        </w:rPr>
      </w:pPr>
      <w:r>
        <w:rPr>
          <w:rFonts w:hint="eastAsia" w:ascii="宋体" w:hAnsi="宋体" w:eastAsia="宋体" w:cs="宋体"/>
          <w:sz w:val="24"/>
          <w:szCs w:val="24"/>
          <w:highlight w:val="none"/>
        </w:rPr>
        <w:t>其他未尽事宜详见合同。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9BB98"/>
    <w:multiLevelType w:val="singleLevel"/>
    <w:tmpl w:val="9819BB98"/>
    <w:lvl w:ilvl="0" w:tentative="0">
      <w:start w:val="1"/>
      <w:numFmt w:val="decimal"/>
      <w:suff w:val="space"/>
      <w:lvlText w:val="(%1)"/>
      <w:lvlJc w:val="left"/>
      <w:pPr>
        <w:ind w:left="454" w:hanging="454"/>
      </w:pPr>
      <w:rPr>
        <w:rFonts w:hint="default"/>
      </w:rPr>
    </w:lvl>
  </w:abstractNum>
  <w:abstractNum w:abstractNumId="1">
    <w:nsid w:val="BE296977"/>
    <w:multiLevelType w:val="multilevel"/>
    <w:tmpl w:val="BE296977"/>
    <w:lvl w:ilvl="0" w:tentative="0">
      <w:start w:val="1"/>
      <w:numFmt w:val="bullet"/>
      <w:suff w:val="space"/>
      <w:lvlText w:val=""/>
      <w:lvlJc w:val="left"/>
      <w:pPr>
        <w:ind w:left="0" w:firstLine="0"/>
      </w:pPr>
      <w:rPr>
        <w:rFonts w:hint="default" w:ascii="Wingdings" w:hAnsi="Wingdings"/>
      </w:rPr>
    </w:lvl>
    <w:lvl w:ilvl="1" w:tentative="0">
      <w:start w:val="1"/>
      <w:numFmt w:val="bullet"/>
      <w:lvlText w:val=""/>
      <w:lvlJc w:val="left"/>
      <w:pPr>
        <w:ind w:left="2220" w:hanging="420"/>
      </w:pPr>
      <w:rPr>
        <w:rFonts w:hint="default" w:ascii="Wingdings" w:hAnsi="Wingdings"/>
      </w:rPr>
    </w:lvl>
    <w:lvl w:ilvl="2" w:tentative="0">
      <w:start w:val="1"/>
      <w:numFmt w:val="bullet"/>
      <w:lvlText w:val=""/>
      <w:lvlJc w:val="left"/>
      <w:pPr>
        <w:ind w:left="2640" w:hanging="420"/>
      </w:pPr>
      <w:rPr>
        <w:rFonts w:hint="default" w:ascii="Wingdings" w:hAnsi="Wingdings"/>
      </w:rPr>
    </w:lvl>
    <w:lvl w:ilvl="3" w:tentative="0">
      <w:start w:val="1"/>
      <w:numFmt w:val="bullet"/>
      <w:lvlText w:val=""/>
      <w:lvlJc w:val="left"/>
      <w:pPr>
        <w:ind w:left="3060" w:hanging="420"/>
      </w:pPr>
      <w:rPr>
        <w:rFonts w:hint="default" w:ascii="Wingdings" w:hAnsi="Wingdings"/>
      </w:rPr>
    </w:lvl>
    <w:lvl w:ilvl="4" w:tentative="0">
      <w:start w:val="1"/>
      <w:numFmt w:val="bullet"/>
      <w:lvlText w:val=""/>
      <w:lvlJc w:val="left"/>
      <w:pPr>
        <w:ind w:left="3480" w:hanging="420"/>
      </w:pPr>
      <w:rPr>
        <w:rFonts w:hint="default" w:ascii="Wingdings" w:hAnsi="Wingdings"/>
      </w:rPr>
    </w:lvl>
    <w:lvl w:ilvl="5" w:tentative="0">
      <w:start w:val="1"/>
      <w:numFmt w:val="bullet"/>
      <w:lvlText w:val=""/>
      <w:lvlJc w:val="left"/>
      <w:pPr>
        <w:ind w:left="3900" w:hanging="420"/>
      </w:pPr>
      <w:rPr>
        <w:rFonts w:hint="default" w:ascii="Wingdings" w:hAnsi="Wingdings"/>
      </w:rPr>
    </w:lvl>
    <w:lvl w:ilvl="6" w:tentative="0">
      <w:start w:val="1"/>
      <w:numFmt w:val="bullet"/>
      <w:lvlText w:val=""/>
      <w:lvlJc w:val="left"/>
      <w:pPr>
        <w:ind w:left="4320" w:hanging="420"/>
      </w:pPr>
      <w:rPr>
        <w:rFonts w:hint="default" w:ascii="Wingdings" w:hAnsi="Wingdings"/>
      </w:rPr>
    </w:lvl>
    <w:lvl w:ilvl="7" w:tentative="0">
      <w:start w:val="1"/>
      <w:numFmt w:val="bullet"/>
      <w:lvlText w:val=""/>
      <w:lvlJc w:val="left"/>
      <w:pPr>
        <w:ind w:left="4740" w:hanging="420"/>
      </w:pPr>
      <w:rPr>
        <w:rFonts w:hint="default" w:ascii="Wingdings" w:hAnsi="Wingdings"/>
      </w:rPr>
    </w:lvl>
    <w:lvl w:ilvl="8" w:tentative="0">
      <w:start w:val="1"/>
      <w:numFmt w:val="bullet"/>
      <w:lvlText w:val=""/>
      <w:lvlJc w:val="left"/>
      <w:pPr>
        <w:ind w:left="5160" w:hanging="420"/>
      </w:pPr>
      <w:rPr>
        <w:rFonts w:hint="default" w:ascii="Wingdings" w:hAnsi="Wingdings"/>
      </w:rPr>
    </w:lvl>
  </w:abstractNum>
  <w:abstractNum w:abstractNumId="2">
    <w:nsid w:val="E84A0518"/>
    <w:multiLevelType w:val="singleLevel"/>
    <w:tmpl w:val="E84A0518"/>
    <w:lvl w:ilvl="0" w:tentative="0">
      <w:start w:val="3"/>
      <w:numFmt w:val="decimal"/>
      <w:suff w:val="nothing"/>
      <w:lvlText w:val="（%1）"/>
      <w:lvlJc w:val="left"/>
    </w:lvl>
  </w:abstractNum>
  <w:abstractNum w:abstractNumId="3">
    <w:nsid w:val="EE4F0F8A"/>
    <w:multiLevelType w:val="singleLevel"/>
    <w:tmpl w:val="EE4F0F8A"/>
    <w:lvl w:ilvl="0" w:tentative="0">
      <w:start w:val="5"/>
      <w:numFmt w:val="decimal"/>
      <w:suff w:val="nothing"/>
      <w:lvlText w:val="%1、"/>
      <w:lvlJc w:val="left"/>
    </w:lvl>
  </w:abstractNum>
  <w:abstractNum w:abstractNumId="4">
    <w:nsid w:val="04004E6B"/>
    <w:multiLevelType w:val="singleLevel"/>
    <w:tmpl w:val="04004E6B"/>
    <w:lvl w:ilvl="0" w:tentative="0">
      <w:start w:val="1"/>
      <w:numFmt w:val="decimal"/>
      <w:suff w:val="space"/>
      <w:lvlText w:val="(%1)"/>
      <w:lvlJc w:val="left"/>
      <w:pPr>
        <w:ind w:left="454" w:hanging="454"/>
      </w:pPr>
      <w:rPr>
        <w:rFonts w:hint="default"/>
      </w:rPr>
    </w:lvl>
  </w:abstractNum>
  <w:abstractNum w:abstractNumId="5">
    <w:nsid w:val="3EFA3838"/>
    <w:multiLevelType w:val="singleLevel"/>
    <w:tmpl w:val="3EFA3838"/>
    <w:lvl w:ilvl="0" w:tentative="0">
      <w:start w:val="10"/>
      <w:numFmt w:val="decimal"/>
      <w:suff w:val="nothing"/>
      <w:lvlText w:val="%1、"/>
      <w:lvlJc w:val="left"/>
    </w:lvl>
  </w:abstractNum>
  <w:abstractNum w:abstractNumId="6">
    <w:nsid w:val="442E505F"/>
    <w:multiLevelType w:val="multilevel"/>
    <w:tmpl w:val="442E505F"/>
    <w:lvl w:ilvl="0" w:tentative="0">
      <w:start w:val="1"/>
      <w:numFmt w:val="chineseCountingThousand"/>
      <w:pStyle w:val="4"/>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7">
    <w:nsid w:val="6358C4AA"/>
    <w:multiLevelType w:val="singleLevel"/>
    <w:tmpl w:val="6358C4AA"/>
    <w:lvl w:ilvl="0" w:tentative="0">
      <w:start w:val="1"/>
      <w:numFmt w:val="decimal"/>
      <w:suff w:val="space"/>
      <w:lvlText w:val="(%1)"/>
      <w:lvlJc w:val="left"/>
      <w:pPr>
        <w:ind w:left="454" w:hanging="454"/>
      </w:pPr>
      <w:rPr>
        <w:rFonts w:hint="default"/>
      </w:rPr>
    </w:lvl>
  </w:abstractNum>
  <w:num w:numId="1">
    <w:abstractNumId w:val="6"/>
  </w:num>
  <w:num w:numId="2">
    <w:abstractNumId w:val="0"/>
  </w:num>
  <w:num w:numId="3">
    <w:abstractNumId w:val="4"/>
  </w:num>
  <w:num w:numId="4">
    <w:abstractNumId w:val="7"/>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iZDU3ZDRiMDM2MGZlODRjZWJhNTZiNGE1YWE3YmMifQ=="/>
  </w:docVars>
  <w:rsids>
    <w:rsidRoot w:val="00520E97"/>
    <w:rsid w:val="000E0381"/>
    <w:rsid w:val="00147E89"/>
    <w:rsid w:val="0015496D"/>
    <w:rsid w:val="001B10D6"/>
    <w:rsid w:val="00211A42"/>
    <w:rsid w:val="00286DDD"/>
    <w:rsid w:val="002B303F"/>
    <w:rsid w:val="002B394E"/>
    <w:rsid w:val="002C19BF"/>
    <w:rsid w:val="002D57FA"/>
    <w:rsid w:val="003261C0"/>
    <w:rsid w:val="0036647A"/>
    <w:rsid w:val="003764BA"/>
    <w:rsid w:val="00386B7C"/>
    <w:rsid w:val="003A6E74"/>
    <w:rsid w:val="003F6334"/>
    <w:rsid w:val="00417550"/>
    <w:rsid w:val="004423E9"/>
    <w:rsid w:val="004817F5"/>
    <w:rsid w:val="00484454"/>
    <w:rsid w:val="004A46FA"/>
    <w:rsid w:val="004C7AF9"/>
    <w:rsid w:val="004E42E7"/>
    <w:rsid w:val="004E5883"/>
    <w:rsid w:val="004F0279"/>
    <w:rsid w:val="004F10E8"/>
    <w:rsid w:val="00520E97"/>
    <w:rsid w:val="00541236"/>
    <w:rsid w:val="005510D6"/>
    <w:rsid w:val="00552E5E"/>
    <w:rsid w:val="00595A43"/>
    <w:rsid w:val="005B5ABA"/>
    <w:rsid w:val="005D029C"/>
    <w:rsid w:val="005D4865"/>
    <w:rsid w:val="005F0D6F"/>
    <w:rsid w:val="005F23EF"/>
    <w:rsid w:val="0063480F"/>
    <w:rsid w:val="00635AA7"/>
    <w:rsid w:val="00654513"/>
    <w:rsid w:val="00695B94"/>
    <w:rsid w:val="006C353D"/>
    <w:rsid w:val="006C43C6"/>
    <w:rsid w:val="00701AE1"/>
    <w:rsid w:val="00795FAF"/>
    <w:rsid w:val="007C6F95"/>
    <w:rsid w:val="007C7F88"/>
    <w:rsid w:val="0080584D"/>
    <w:rsid w:val="0081212E"/>
    <w:rsid w:val="00842876"/>
    <w:rsid w:val="00846892"/>
    <w:rsid w:val="00867FFD"/>
    <w:rsid w:val="008914ED"/>
    <w:rsid w:val="008914F3"/>
    <w:rsid w:val="0090278A"/>
    <w:rsid w:val="00907167"/>
    <w:rsid w:val="00925CFB"/>
    <w:rsid w:val="009312AA"/>
    <w:rsid w:val="00942D2E"/>
    <w:rsid w:val="00990002"/>
    <w:rsid w:val="009A4BF0"/>
    <w:rsid w:val="00A376F4"/>
    <w:rsid w:val="00A748B8"/>
    <w:rsid w:val="00AF252A"/>
    <w:rsid w:val="00B4175D"/>
    <w:rsid w:val="00B66B3D"/>
    <w:rsid w:val="00BB1F96"/>
    <w:rsid w:val="00BF4C2C"/>
    <w:rsid w:val="00C2385F"/>
    <w:rsid w:val="00C60111"/>
    <w:rsid w:val="00C97203"/>
    <w:rsid w:val="00CC55CF"/>
    <w:rsid w:val="00D03141"/>
    <w:rsid w:val="00D11389"/>
    <w:rsid w:val="00D32460"/>
    <w:rsid w:val="00D455AA"/>
    <w:rsid w:val="00D50A2D"/>
    <w:rsid w:val="00D61816"/>
    <w:rsid w:val="00D61FF2"/>
    <w:rsid w:val="00D62385"/>
    <w:rsid w:val="00D93348"/>
    <w:rsid w:val="00DB3EC1"/>
    <w:rsid w:val="00DD318F"/>
    <w:rsid w:val="00DE0EAF"/>
    <w:rsid w:val="00E71536"/>
    <w:rsid w:val="00EA5DF2"/>
    <w:rsid w:val="00EC163F"/>
    <w:rsid w:val="00ED0588"/>
    <w:rsid w:val="00ED24AF"/>
    <w:rsid w:val="00EF5B38"/>
    <w:rsid w:val="00F6103C"/>
    <w:rsid w:val="00FC36DF"/>
    <w:rsid w:val="00FC6773"/>
    <w:rsid w:val="00FE0E8A"/>
    <w:rsid w:val="00FE6B05"/>
    <w:rsid w:val="00FF6F46"/>
    <w:rsid w:val="02297BE6"/>
    <w:rsid w:val="0305336A"/>
    <w:rsid w:val="042608F2"/>
    <w:rsid w:val="043C134F"/>
    <w:rsid w:val="0490190F"/>
    <w:rsid w:val="04F62D89"/>
    <w:rsid w:val="0566751D"/>
    <w:rsid w:val="05FD2B10"/>
    <w:rsid w:val="07A83AD6"/>
    <w:rsid w:val="07CD1E7C"/>
    <w:rsid w:val="08EE4992"/>
    <w:rsid w:val="08FB30C1"/>
    <w:rsid w:val="093920B1"/>
    <w:rsid w:val="09E93FA5"/>
    <w:rsid w:val="09EE2822"/>
    <w:rsid w:val="0AFB3396"/>
    <w:rsid w:val="0B13539B"/>
    <w:rsid w:val="0B24315C"/>
    <w:rsid w:val="0B4B1C27"/>
    <w:rsid w:val="0D6862C3"/>
    <w:rsid w:val="0D9F45DE"/>
    <w:rsid w:val="0E1C10D1"/>
    <w:rsid w:val="0E6A782F"/>
    <w:rsid w:val="0EB21FBD"/>
    <w:rsid w:val="0F956437"/>
    <w:rsid w:val="0FC30926"/>
    <w:rsid w:val="0FF07438"/>
    <w:rsid w:val="102A2753"/>
    <w:rsid w:val="1102547E"/>
    <w:rsid w:val="11F76764"/>
    <w:rsid w:val="13DD188A"/>
    <w:rsid w:val="13E56991"/>
    <w:rsid w:val="14186D67"/>
    <w:rsid w:val="142D2812"/>
    <w:rsid w:val="145E6E6F"/>
    <w:rsid w:val="152B6F63"/>
    <w:rsid w:val="15710EAB"/>
    <w:rsid w:val="159D2FDE"/>
    <w:rsid w:val="1658458D"/>
    <w:rsid w:val="17013AE2"/>
    <w:rsid w:val="17207970"/>
    <w:rsid w:val="177666A9"/>
    <w:rsid w:val="17AE5249"/>
    <w:rsid w:val="17D86F39"/>
    <w:rsid w:val="1803076B"/>
    <w:rsid w:val="18C63235"/>
    <w:rsid w:val="196C776F"/>
    <w:rsid w:val="19785E3F"/>
    <w:rsid w:val="1983388C"/>
    <w:rsid w:val="19F05C83"/>
    <w:rsid w:val="19FA6311"/>
    <w:rsid w:val="1AC23018"/>
    <w:rsid w:val="1AC437A4"/>
    <w:rsid w:val="1ADA6B24"/>
    <w:rsid w:val="1B1F09DB"/>
    <w:rsid w:val="1C0D4CD7"/>
    <w:rsid w:val="1C13417D"/>
    <w:rsid w:val="1C8B3935"/>
    <w:rsid w:val="1D230C56"/>
    <w:rsid w:val="1D515A43"/>
    <w:rsid w:val="1DE62D5A"/>
    <w:rsid w:val="1E5A19E3"/>
    <w:rsid w:val="1E9B2A6E"/>
    <w:rsid w:val="1EE6018D"/>
    <w:rsid w:val="1F374545"/>
    <w:rsid w:val="1F53564D"/>
    <w:rsid w:val="201A3F23"/>
    <w:rsid w:val="203527EC"/>
    <w:rsid w:val="20A83220"/>
    <w:rsid w:val="21535F4C"/>
    <w:rsid w:val="21A70497"/>
    <w:rsid w:val="226513C9"/>
    <w:rsid w:val="23287787"/>
    <w:rsid w:val="23614286"/>
    <w:rsid w:val="23616767"/>
    <w:rsid w:val="23C07B14"/>
    <w:rsid w:val="241412F8"/>
    <w:rsid w:val="24C11F9C"/>
    <w:rsid w:val="24DD6DCC"/>
    <w:rsid w:val="257F6C45"/>
    <w:rsid w:val="25C3724F"/>
    <w:rsid w:val="25F51927"/>
    <w:rsid w:val="26C57ECF"/>
    <w:rsid w:val="26E26B91"/>
    <w:rsid w:val="27007912"/>
    <w:rsid w:val="284D6B87"/>
    <w:rsid w:val="28D64DCE"/>
    <w:rsid w:val="299E3412"/>
    <w:rsid w:val="29CC17B4"/>
    <w:rsid w:val="2A1F5C2B"/>
    <w:rsid w:val="2A5E1D27"/>
    <w:rsid w:val="2A756869"/>
    <w:rsid w:val="2B011CF0"/>
    <w:rsid w:val="2BB00137"/>
    <w:rsid w:val="2BE21CDC"/>
    <w:rsid w:val="2D917516"/>
    <w:rsid w:val="2E474078"/>
    <w:rsid w:val="2E9E25BD"/>
    <w:rsid w:val="2ED27DE6"/>
    <w:rsid w:val="2F5527C5"/>
    <w:rsid w:val="2FBB2F70"/>
    <w:rsid w:val="3047426A"/>
    <w:rsid w:val="30CE0A81"/>
    <w:rsid w:val="321E0BC9"/>
    <w:rsid w:val="33457039"/>
    <w:rsid w:val="33B57CD6"/>
    <w:rsid w:val="33FC76B3"/>
    <w:rsid w:val="346906DB"/>
    <w:rsid w:val="34DE5E29"/>
    <w:rsid w:val="36186CF3"/>
    <w:rsid w:val="36B50719"/>
    <w:rsid w:val="36EB75BC"/>
    <w:rsid w:val="37106F10"/>
    <w:rsid w:val="37584D1F"/>
    <w:rsid w:val="3768578B"/>
    <w:rsid w:val="37856C5C"/>
    <w:rsid w:val="37BE35FD"/>
    <w:rsid w:val="381454AB"/>
    <w:rsid w:val="384653A1"/>
    <w:rsid w:val="384A5821"/>
    <w:rsid w:val="397321C6"/>
    <w:rsid w:val="39D65BFA"/>
    <w:rsid w:val="3A1153A9"/>
    <w:rsid w:val="3AAB3FD3"/>
    <w:rsid w:val="3ADA6C48"/>
    <w:rsid w:val="3B1B2B15"/>
    <w:rsid w:val="3B855DC8"/>
    <w:rsid w:val="3CD92605"/>
    <w:rsid w:val="3D1B504E"/>
    <w:rsid w:val="3D4C01F7"/>
    <w:rsid w:val="3D830958"/>
    <w:rsid w:val="3DB85A64"/>
    <w:rsid w:val="3DF00B18"/>
    <w:rsid w:val="3E5F40AD"/>
    <w:rsid w:val="3F8F3AD1"/>
    <w:rsid w:val="3FA251E6"/>
    <w:rsid w:val="401C13CE"/>
    <w:rsid w:val="40C15F0C"/>
    <w:rsid w:val="41731A1B"/>
    <w:rsid w:val="41A970CC"/>
    <w:rsid w:val="41CE268F"/>
    <w:rsid w:val="41D25C46"/>
    <w:rsid w:val="42154762"/>
    <w:rsid w:val="425A03C6"/>
    <w:rsid w:val="42826238"/>
    <w:rsid w:val="43C77C0E"/>
    <w:rsid w:val="443F7874"/>
    <w:rsid w:val="44692510"/>
    <w:rsid w:val="449A0F4E"/>
    <w:rsid w:val="452B604A"/>
    <w:rsid w:val="452C07F0"/>
    <w:rsid w:val="4537679D"/>
    <w:rsid w:val="45A92F06"/>
    <w:rsid w:val="45F25354"/>
    <w:rsid w:val="465B110E"/>
    <w:rsid w:val="46EA5025"/>
    <w:rsid w:val="478D4316"/>
    <w:rsid w:val="47D56826"/>
    <w:rsid w:val="47FE2202"/>
    <w:rsid w:val="48CE400C"/>
    <w:rsid w:val="48FC21D7"/>
    <w:rsid w:val="49D87DE7"/>
    <w:rsid w:val="49D90544"/>
    <w:rsid w:val="4A0D5D1E"/>
    <w:rsid w:val="4A134927"/>
    <w:rsid w:val="4A38723F"/>
    <w:rsid w:val="4AE44CD1"/>
    <w:rsid w:val="4BA55D28"/>
    <w:rsid w:val="4C1B0BC7"/>
    <w:rsid w:val="4D8409ED"/>
    <w:rsid w:val="4DFD20AB"/>
    <w:rsid w:val="4E035902"/>
    <w:rsid w:val="4E1C0C26"/>
    <w:rsid w:val="4E711B11"/>
    <w:rsid w:val="4EE50468"/>
    <w:rsid w:val="4F575C6B"/>
    <w:rsid w:val="4FA62E9D"/>
    <w:rsid w:val="50942CF5"/>
    <w:rsid w:val="51B55619"/>
    <w:rsid w:val="51C07B1A"/>
    <w:rsid w:val="51FF4AE6"/>
    <w:rsid w:val="52592449"/>
    <w:rsid w:val="53B65679"/>
    <w:rsid w:val="540D44AF"/>
    <w:rsid w:val="54F14BBA"/>
    <w:rsid w:val="551D59AF"/>
    <w:rsid w:val="557C5A47"/>
    <w:rsid w:val="558C4C9C"/>
    <w:rsid w:val="563D0D62"/>
    <w:rsid w:val="565C2507"/>
    <w:rsid w:val="56633896"/>
    <w:rsid w:val="56B153BE"/>
    <w:rsid w:val="57572CCF"/>
    <w:rsid w:val="595C703F"/>
    <w:rsid w:val="597C07CB"/>
    <w:rsid w:val="599908A6"/>
    <w:rsid w:val="5A225816"/>
    <w:rsid w:val="5A3966BC"/>
    <w:rsid w:val="5A5B2064"/>
    <w:rsid w:val="5A7B6CD4"/>
    <w:rsid w:val="5AAE70AA"/>
    <w:rsid w:val="5B04316E"/>
    <w:rsid w:val="5B1433B1"/>
    <w:rsid w:val="5BB26726"/>
    <w:rsid w:val="5BB570B2"/>
    <w:rsid w:val="5BD237B0"/>
    <w:rsid w:val="5D327B1E"/>
    <w:rsid w:val="5D8A5BAC"/>
    <w:rsid w:val="5DAB143A"/>
    <w:rsid w:val="5DDB3FA9"/>
    <w:rsid w:val="5EE035AA"/>
    <w:rsid w:val="5F3B0DEA"/>
    <w:rsid w:val="5F805584"/>
    <w:rsid w:val="60795A64"/>
    <w:rsid w:val="61DA46AF"/>
    <w:rsid w:val="62D41252"/>
    <w:rsid w:val="630874F5"/>
    <w:rsid w:val="63443BFB"/>
    <w:rsid w:val="63536A40"/>
    <w:rsid w:val="6394679A"/>
    <w:rsid w:val="63B35731"/>
    <w:rsid w:val="63FF4D7E"/>
    <w:rsid w:val="64545DB4"/>
    <w:rsid w:val="645962D8"/>
    <w:rsid w:val="651A33F4"/>
    <w:rsid w:val="65D538C3"/>
    <w:rsid w:val="65DC194B"/>
    <w:rsid w:val="65E25E59"/>
    <w:rsid w:val="662577E7"/>
    <w:rsid w:val="6AB158BE"/>
    <w:rsid w:val="6AE93616"/>
    <w:rsid w:val="6B5B0B88"/>
    <w:rsid w:val="6BB56CEE"/>
    <w:rsid w:val="6C133210"/>
    <w:rsid w:val="6D7D4DE5"/>
    <w:rsid w:val="6D8C0B84"/>
    <w:rsid w:val="6DBA5467"/>
    <w:rsid w:val="6DBD733D"/>
    <w:rsid w:val="6DCB7281"/>
    <w:rsid w:val="6E0D4C31"/>
    <w:rsid w:val="6E8403F6"/>
    <w:rsid w:val="6EB365E5"/>
    <w:rsid w:val="6F3B4DD8"/>
    <w:rsid w:val="6F556F3C"/>
    <w:rsid w:val="6F814F0E"/>
    <w:rsid w:val="70357BF9"/>
    <w:rsid w:val="712A74F5"/>
    <w:rsid w:val="71637FD2"/>
    <w:rsid w:val="718A5D23"/>
    <w:rsid w:val="72E71BF7"/>
    <w:rsid w:val="73665103"/>
    <w:rsid w:val="73CA4C19"/>
    <w:rsid w:val="73F94D9A"/>
    <w:rsid w:val="742D3B85"/>
    <w:rsid w:val="753366D1"/>
    <w:rsid w:val="76165DD7"/>
    <w:rsid w:val="76E063E5"/>
    <w:rsid w:val="77297D8C"/>
    <w:rsid w:val="77DF1FFC"/>
    <w:rsid w:val="78243542"/>
    <w:rsid w:val="792926D3"/>
    <w:rsid w:val="79BF0534"/>
    <w:rsid w:val="7A652E89"/>
    <w:rsid w:val="7B0F3449"/>
    <w:rsid w:val="7BA479E1"/>
    <w:rsid w:val="7C330D65"/>
    <w:rsid w:val="7CFB2AB1"/>
    <w:rsid w:val="7DA40824"/>
    <w:rsid w:val="7DA83A8C"/>
    <w:rsid w:val="7DCA3430"/>
    <w:rsid w:val="7DE42E8D"/>
    <w:rsid w:val="7E752216"/>
    <w:rsid w:val="7EBE525E"/>
    <w:rsid w:val="7ED87D47"/>
    <w:rsid w:val="7F121106"/>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autoRedefine/>
    <w:qFormat/>
    <w:uiPriority w:val="9"/>
    <w:pPr>
      <w:keepNext/>
      <w:keepLines/>
      <w:spacing w:before="260" w:after="260" w:line="416" w:lineRule="auto"/>
      <w:outlineLvl w:val="1"/>
    </w:pPr>
    <w:rPr>
      <w:rFonts w:ascii="Cambria" w:hAnsi="Cambria"/>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2"/>
    <w:autoRedefine/>
    <w:qFormat/>
    <w:uiPriority w:val="99"/>
    <w:pPr>
      <w:widowControl/>
      <w:spacing w:line="360" w:lineRule="auto"/>
    </w:pPr>
    <w:rPr>
      <w:rFonts w:ascii="Times New Roman" w:hAnsi="Times New Roman" w:eastAsia="宋体" w:cs="Times New Roman"/>
      <w:kern w:val="0"/>
      <w:sz w:val="20"/>
      <w:szCs w:val="20"/>
    </w:rPr>
  </w:style>
  <w:style w:type="paragraph" w:customStyle="1" w:styleId="3">
    <w:name w:val="A正文小四"/>
    <w:basedOn w:val="1"/>
    <w:qFormat/>
    <w:uiPriority w:val="0"/>
    <w:pPr>
      <w:spacing w:before="96" w:after="96"/>
      <w:ind w:firstLine="200" w:firstLineChars="200"/>
    </w:pPr>
    <w:rPr>
      <w:rFonts w:cs="黑体"/>
      <w:sz w:val="24"/>
      <w:szCs w:val="24"/>
    </w:rPr>
  </w:style>
  <w:style w:type="paragraph" w:styleId="6">
    <w:name w:val="Normal Indent"/>
    <w:basedOn w:val="1"/>
    <w:autoRedefine/>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Indent"/>
    <w:basedOn w:val="1"/>
    <w:next w:val="9"/>
    <w:autoRedefine/>
    <w:qFormat/>
    <w:uiPriority w:val="0"/>
    <w:pPr>
      <w:ind w:firstLine="645"/>
    </w:pPr>
    <w:rPr>
      <w:rFonts w:ascii="楷体_GB2312" w:eastAsia="楷体_GB2312"/>
      <w:sz w:val="32"/>
      <w:szCs w:val="20"/>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rPr>
  </w:style>
  <w:style w:type="paragraph" w:styleId="11">
    <w:name w:val="Date"/>
    <w:basedOn w:val="1"/>
    <w:next w:val="1"/>
    <w:link w:val="34"/>
    <w:autoRedefine/>
    <w:qFormat/>
    <w:uiPriority w:val="99"/>
    <w:rPr>
      <w:rFonts w:hint="eastAsia" w:ascii="仿宋_GB2312" w:hAnsi="Times New Roman" w:eastAsia="仿宋_GB2312" w:cs="Times New Roman"/>
      <w:kern w:val="0"/>
      <w:sz w:val="32"/>
      <w:szCs w:val="20"/>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27"/>
    <w:autoRedefine/>
    <w:unhideWhenUsed/>
    <w:qFormat/>
    <w:uiPriority w:val="99"/>
    <w:pPr>
      <w:tabs>
        <w:tab w:val="center" w:pos="4153"/>
        <w:tab w:val="right" w:pos="8306"/>
      </w:tabs>
      <w:snapToGrid w:val="0"/>
      <w:jc w:val="left"/>
    </w:pPr>
    <w:rPr>
      <w:sz w:val="18"/>
      <w:szCs w:val="18"/>
    </w:rPr>
  </w:style>
  <w:style w:type="paragraph" w:styleId="14">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autoRedefine/>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Body Text First Indent"/>
    <w:basedOn w:val="2"/>
    <w:autoRedefine/>
    <w:qFormat/>
    <w:uiPriority w:val="0"/>
    <w:pPr>
      <w:spacing w:before="0" w:after="120" w:line="240" w:lineRule="auto"/>
      <w:ind w:firstLine="420" w:firstLineChars="100"/>
    </w:pPr>
    <w:rPr>
      <w:rFonts w:asciiTheme="minorHAnsi" w:hAnsiTheme="minorHAnsi" w:eastAsiaTheme="minorEastAsia" w:cstheme="minorBidi"/>
      <w:sz w:val="21"/>
      <w:szCs w:val="22"/>
    </w:rPr>
  </w:style>
  <w:style w:type="paragraph" w:styleId="19">
    <w:name w:val="Body Text First Indent 2"/>
    <w:basedOn w:val="8"/>
    <w:next w:val="1"/>
    <w:autoRedefine/>
    <w:unhideWhenUsed/>
    <w:qFormat/>
    <w:uiPriority w:val="99"/>
    <w:pPr>
      <w:ind w:left="200" w:firstLine="420" w:firstLineChars="200"/>
    </w:p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annotation reference"/>
    <w:autoRedefine/>
    <w:semiHidden/>
    <w:qFormat/>
    <w:uiPriority w:val="99"/>
    <w:rPr>
      <w:sz w:val="21"/>
      <w:szCs w:val="21"/>
    </w:rPr>
  </w:style>
  <w:style w:type="paragraph" w:customStyle="1" w:styleId="25">
    <w:name w:val="正文文本1"/>
    <w:basedOn w:val="1"/>
    <w:autoRedefine/>
    <w:qFormat/>
    <w:uiPriority w:val="0"/>
    <w:pPr>
      <w:widowControl/>
      <w:spacing w:line="360" w:lineRule="auto"/>
    </w:pPr>
    <w:rPr>
      <w:color w:val="FF0000"/>
    </w:rPr>
  </w:style>
  <w:style w:type="character" w:customStyle="1" w:styleId="26">
    <w:name w:val="页眉 字符"/>
    <w:basedOn w:val="22"/>
    <w:link w:val="14"/>
    <w:autoRedefine/>
    <w:qFormat/>
    <w:uiPriority w:val="99"/>
    <w:rPr>
      <w:sz w:val="18"/>
      <w:szCs w:val="18"/>
    </w:rPr>
  </w:style>
  <w:style w:type="character" w:customStyle="1" w:styleId="27">
    <w:name w:val="页脚 字符"/>
    <w:basedOn w:val="22"/>
    <w:link w:val="13"/>
    <w:autoRedefine/>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标题 字符"/>
    <w:link w:val="17"/>
    <w:autoRedefine/>
    <w:qFormat/>
    <w:uiPriority w:val="10"/>
    <w:rPr>
      <w:rFonts w:ascii="Times New Roman" w:hAnsi="Times New Roman" w:eastAsia="方正小标宋简体"/>
      <w:spacing w:val="5"/>
      <w:kern w:val="28"/>
      <w:sz w:val="36"/>
      <w:szCs w:val="52"/>
    </w:rPr>
  </w:style>
  <w:style w:type="character" w:customStyle="1" w:styleId="30">
    <w:name w:val="标题 字符1"/>
    <w:basedOn w:val="22"/>
    <w:autoRedefine/>
    <w:qFormat/>
    <w:uiPriority w:val="10"/>
    <w:rPr>
      <w:rFonts w:asciiTheme="majorHAnsi" w:hAnsiTheme="majorHAnsi" w:eastAsiaTheme="majorEastAsia" w:cstheme="majorBidi"/>
      <w:b/>
      <w:bCs/>
      <w:sz w:val="32"/>
      <w:szCs w:val="32"/>
    </w:rPr>
  </w:style>
  <w:style w:type="character" w:customStyle="1" w:styleId="31">
    <w:name w:val="HTML 预设格式 字符"/>
    <w:basedOn w:val="22"/>
    <w:link w:val="15"/>
    <w:autoRedefine/>
    <w:qFormat/>
    <w:uiPriority w:val="0"/>
    <w:rPr>
      <w:rFonts w:ascii="Arial" w:hAnsi="Arial" w:eastAsia="宋体" w:cs="Arial"/>
      <w:kern w:val="0"/>
      <w:sz w:val="24"/>
      <w:szCs w:val="24"/>
    </w:rPr>
  </w:style>
  <w:style w:type="character" w:customStyle="1" w:styleId="32">
    <w:name w:val="正文文本 字符"/>
    <w:basedOn w:val="22"/>
    <w:link w:val="2"/>
    <w:autoRedefine/>
    <w:qFormat/>
    <w:uiPriority w:val="99"/>
    <w:rPr>
      <w:rFonts w:ascii="Times New Roman" w:hAnsi="Times New Roman" w:eastAsia="宋体" w:cs="Times New Roman"/>
      <w:kern w:val="0"/>
      <w:sz w:val="20"/>
      <w:szCs w:val="20"/>
    </w:rPr>
  </w:style>
  <w:style w:type="paragraph" w:customStyle="1" w:styleId="33">
    <w:name w:val="Table Paragraph"/>
    <w:basedOn w:val="1"/>
    <w:autoRedefine/>
    <w:qFormat/>
    <w:uiPriority w:val="1"/>
    <w:pPr>
      <w:spacing w:before="102"/>
      <w:jc w:val="center"/>
    </w:pPr>
    <w:rPr>
      <w:rFonts w:ascii="宋体" w:hAnsi="宋体" w:eastAsia="宋体" w:cs="宋体"/>
      <w:lang w:val="zh-CN" w:bidi="zh-CN"/>
    </w:rPr>
  </w:style>
  <w:style w:type="character" w:customStyle="1" w:styleId="34">
    <w:name w:val="日期 字符"/>
    <w:basedOn w:val="22"/>
    <w:link w:val="11"/>
    <w:autoRedefine/>
    <w:qFormat/>
    <w:uiPriority w:val="99"/>
    <w:rPr>
      <w:rFonts w:ascii="仿宋_GB2312" w:hAnsi="Times New Roman" w:eastAsia="仿宋_GB2312" w:cs="Times New Roman"/>
      <w:kern w:val="0"/>
      <w:sz w:val="32"/>
      <w:szCs w:val="20"/>
    </w:rPr>
  </w:style>
  <w:style w:type="character" w:customStyle="1" w:styleId="35">
    <w:name w:val="NormalCharacter"/>
    <w:autoRedefine/>
    <w:qFormat/>
    <w:uiPriority w:val="0"/>
  </w:style>
  <w:style w:type="paragraph" w:customStyle="1" w:styleId="36">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autoRedefine/>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38">
    <w:name w:val="批注框文本 字符"/>
    <w:basedOn w:val="22"/>
    <w:link w:val="1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5069</Words>
  <Characters>5406</Characters>
  <Lines>12</Lines>
  <Paragraphs>3</Paragraphs>
  <TotalTime>5</TotalTime>
  <ScaleCrop>false</ScaleCrop>
  <LinksUpToDate>false</LinksUpToDate>
  <CharactersWithSpaces>5533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2022-12-14T06:06:00Z</dcterms:created>
  <dc:creator>j4</dc:creator>
  <cp:lastModifiedBy>鲍杜佳</cp:lastModifiedBy>
  <dcterms:modified xsi:type="dcterms:W3CDTF">2025-12-12T05:38:06Z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AD0FE7C8E1F3474C95A1AA4DE9160401_13</vt:lpwstr>
  </property>
  <property fmtid="{D5CDD505-2E9C-101B-9397-08002B2CF9AE}" pid="4" name="KSOTemplateDocerSaveRecord">
    <vt:lpwstr>eyJoZGlkIjoiMzEwNTM5NzYwMDRjMzkwZTVkZjY2ODkwMGIxNGU0OTUiLCJ1c2VySWQiOiIxNjM5ODAwNTQ4In0=</vt:lpwstr>
  </property>
</Properties>
</file>