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87DFF">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重点站区南站地区优化提升信息化配套建设</w:t>
      </w:r>
    </w:p>
    <w:p w14:paraId="190A424E">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需求公示</w:t>
      </w:r>
      <w:r>
        <w:rPr>
          <w:rFonts w:ascii="Times New Roman" w:hAnsi="Times New Roman" w:eastAsia="宋体" w:cs="Times New Roman"/>
          <w:b/>
          <w:bCs/>
          <w:sz w:val="36"/>
          <w:szCs w:val="36"/>
        </w:rPr>
        <w:t>附件</w:t>
      </w:r>
    </w:p>
    <w:p w14:paraId="14B20D3D">
      <w:pPr>
        <w:spacing w:line="360" w:lineRule="auto"/>
        <w:rPr>
          <w:rFonts w:ascii="Times New Roman" w:hAnsi="Times New Roman" w:eastAsia="宋体" w:cs="Times New Roman"/>
          <w:color w:val="000000"/>
          <w:kern w:val="0"/>
          <w:sz w:val="24"/>
          <w:szCs w:val="24"/>
        </w:rPr>
      </w:pPr>
    </w:p>
    <w:p w14:paraId="57B70A92">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附件一</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报名材料：</w:t>
      </w:r>
    </w:p>
    <w:p w14:paraId="44582263">
      <w:pPr>
        <w:spacing w:line="360" w:lineRule="auto"/>
        <w:rPr>
          <w:rFonts w:ascii="Times New Roman" w:hAnsi="Times New Roman" w:eastAsia="宋体" w:cs="Times New Roman"/>
          <w:b/>
          <w:sz w:val="24"/>
        </w:rPr>
      </w:pPr>
      <w:r>
        <w:rPr>
          <w:rFonts w:ascii="Times New Roman" w:hAnsi="Times New Roman" w:eastAsia="宋体" w:cs="Times New Roman"/>
          <w:b/>
          <w:sz w:val="24"/>
        </w:rPr>
        <w:t>（注：以下附件1至附件</w:t>
      </w:r>
      <w:r>
        <w:rPr>
          <w:rFonts w:hint="eastAsia" w:ascii="Times New Roman" w:hAnsi="Times New Roman" w:eastAsia="宋体" w:cs="Times New Roman"/>
          <w:b/>
          <w:sz w:val="24"/>
        </w:rPr>
        <w:t>3</w:t>
      </w:r>
      <w:r>
        <w:rPr>
          <w:rFonts w:ascii="Times New Roman" w:hAnsi="Times New Roman" w:eastAsia="宋体" w:cs="Times New Roman"/>
          <w:b/>
          <w:sz w:val="24"/>
        </w:rPr>
        <w:t>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528"/>
        <w:gridCol w:w="1537"/>
        <w:gridCol w:w="1725"/>
        <w:gridCol w:w="1481"/>
      </w:tblGrid>
      <w:tr w14:paraId="5869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3EA24C7A">
            <w:pPr>
              <w:pStyle w:val="25"/>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14:paraId="22AA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3412BD6C">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528" w:type="dxa"/>
          </w:tcPr>
          <w:p w14:paraId="6E84D190">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537" w:type="dxa"/>
          </w:tcPr>
          <w:p w14:paraId="6BB7AA59">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tcPr>
          <w:p w14:paraId="57D4DCA4">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tcPr>
          <w:p w14:paraId="3A2B52B0">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14:paraId="485A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4CBBD11B">
            <w:pPr>
              <w:pStyle w:val="25"/>
              <w:jc w:val="center"/>
              <w:rPr>
                <w:rFonts w:ascii="Times New Roman" w:hAnsi="Times New Roman" w:eastAsia="宋体" w:cs="Times New Roman"/>
                <w:color w:val="auto"/>
                <w:sz w:val="24"/>
                <w:szCs w:val="24"/>
              </w:rPr>
            </w:pPr>
          </w:p>
        </w:tc>
        <w:tc>
          <w:tcPr>
            <w:tcW w:w="1528" w:type="dxa"/>
            <w:vAlign w:val="center"/>
          </w:tcPr>
          <w:p w14:paraId="3FACC74C">
            <w:pPr>
              <w:pStyle w:val="25"/>
              <w:jc w:val="center"/>
              <w:rPr>
                <w:rFonts w:ascii="Times New Roman" w:hAnsi="Times New Roman" w:eastAsia="宋体" w:cs="Times New Roman"/>
                <w:color w:val="auto"/>
                <w:kern w:val="0"/>
                <w:sz w:val="24"/>
                <w:szCs w:val="24"/>
                <w:shd w:val="clear" w:color="auto" w:fill="FFFFFF"/>
              </w:rPr>
            </w:pPr>
          </w:p>
        </w:tc>
        <w:tc>
          <w:tcPr>
            <w:tcW w:w="1537" w:type="dxa"/>
            <w:vAlign w:val="center"/>
          </w:tcPr>
          <w:p w14:paraId="51E24EEF">
            <w:pPr>
              <w:pStyle w:val="25"/>
              <w:jc w:val="center"/>
              <w:rPr>
                <w:rFonts w:ascii="Times New Roman" w:hAnsi="Times New Roman" w:eastAsia="宋体" w:cs="Times New Roman"/>
                <w:color w:val="auto"/>
                <w:sz w:val="24"/>
                <w:szCs w:val="24"/>
              </w:rPr>
            </w:pPr>
          </w:p>
        </w:tc>
        <w:tc>
          <w:tcPr>
            <w:tcW w:w="1725" w:type="dxa"/>
            <w:vAlign w:val="center"/>
          </w:tcPr>
          <w:p w14:paraId="724C3BF7">
            <w:pPr>
              <w:pStyle w:val="25"/>
              <w:jc w:val="center"/>
              <w:rPr>
                <w:rFonts w:ascii="Times New Roman" w:hAnsi="Times New Roman" w:eastAsia="宋体" w:cs="Times New Roman"/>
                <w:color w:val="auto"/>
                <w:sz w:val="24"/>
                <w:szCs w:val="24"/>
              </w:rPr>
            </w:pPr>
          </w:p>
        </w:tc>
        <w:tc>
          <w:tcPr>
            <w:tcW w:w="1481" w:type="dxa"/>
            <w:vAlign w:val="center"/>
          </w:tcPr>
          <w:p w14:paraId="6C72A7DD">
            <w:pPr>
              <w:pStyle w:val="25"/>
              <w:jc w:val="center"/>
              <w:rPr>
                <w:rFonts w:ascii="Times New Roman" w:hAnsi="Times New Roman" w:eastAsia="宋体" w:cs="Times New Roman"/>
                <w:color w:val="auto"/>
                <w:sz w:val="24"/>
                <w:szCs w:val="24"/>
              </w:rPr>
            </w:pPr>
          </w:p>
        </w:tc>
      </w:tr>
      <w:tr w14:paraId="171D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35CB53BF">
            <w:pPr>
              <w:pStyle w:val="25"/>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14:paraId="2795A615">
      <w:pPr>
        <w:pStyle w:val="25"/>
        <w:rPr>
          <w:rFonts w:ascii="Times New Roman" w:hAnsi="Times New Roman" w:eastAsia="宋体" w:cs="Times New Roman"/>
        </w:rPr>
      </w:pPr>
    </w:p>
    <w:p w14:paraId="0EF9A523">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附件1 有效的营业执照或法人证书等证明文件，以自然人身份参与的提交自然人的有效身份证明</w:t>
      </w:r>
    </w:p>
    <w:p w14:paraId="48CC2A65">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附件2 法定代表人/负责人身份证明</w:t>
      </w:r>
    </w:p>
    <w:p w14:paraId="682CF2FB">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附件3</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法定代表人/负责人授权书</w:t>
      </w:r>
    </w:p>
    <w:p w14:paraId="3C48A54A">
      <w:pPr>
        <w:pStyle w:val="25"/>
        <w:rPr>
          <w:rFonts w:ascii="Times New Roman" w:hAnsi="Times New Roman" w:eastAsia="宋体" w:cs="Times New Roman"/>
          <w:color w:val="auto"/>
          <w:sz w:val="28"/>
          <w:szCs w:val="28"/>
        </w:rPr>
      </w:pPr>
    </w:p>
    <w:p w14:paraId="7EC50AE3">
      <w:pPr>
        <w:pStyle w:val="25"/>
        <w:rPr>
          <w:rFonts w:ascii="Times New Roman" w:hAnsi="Times New Roman" w:eastAsia="宋体" w:cs="Times New Roman"/>
          <w:strike/>
          <w:color w:val="auto"/>
          <w:sz w:val="28"/>
          <w:szCs w:val="28"/>
        </w:rPr>
      </w:pPr>
    </w:p>
    <w:p w14:paraId="6300C0A3">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1DE724A2">
      <w:p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报名材料格式：</w:t>
      </w:r>
    </w:p>
    <w:p w14:paraId="1F8A7D37">
      <w:pPr>
        <w:pStyle w:val="3"/>
        <w:spacing w:before="0" w:after="0" w:line="360" w:lineRule="auto"/>
        <w:rPr>
          <w:rFonts w:ascii="Times New Roman" w:hAnsi="Times New Roman" w:eastAsia="宋体" w:cs="Times New Roman"/>
          <w:sz w:val="24"/>
          <w:szCs w:val="24"/>
        </w:rPr>
      </w:pPr>
      <w:bookmarkStart w:id="0" w:name="_Toc17461"/>
      <w:bookmarkStart w:id="1" w:name="_Hlk202796284"/>
      <w:r>
        <w:rPr>
          <w:rFonts w:ascii="Times New Roman" w:hAnsi="Times New Roman" w:eastAsia="宋体" w:cs="Times New Roman"/>
          <w:sz w:val="24"/>
          <w:szCs w:val="24"/>
        </w:rPr>
        <w:t>附件 1  有效的营业执照或法人证书等证明文件（复印件，须加盖供应商公章），以自然人身份参与的提交自然人的有效身份证明（复印件）</w:t>
      </w:r>
      <w:bookmarkEnd w:id="0"/>
    </w:p>
    <w:bookmarkEnd w:id="1"/>
    <w:p w14:paraId="3745255F">
      <w:pPr>
        <w:spacing w:line="360" w:lineRule="auto"/>
        <w:rPr>
          <w:rFonts w:ascii="Times New Roman" w:hAnsi="Times New Roman" w:eastAsia="宋体" w:cs="Times New Roman"/>
          <w:sz w:val="24"/>
        </w:rPr>
      </w:pPr>
    </w:p>
    <w:p w14:paraId="48BDD825">
      <w:pPr>
        <w:spacing w:line="360" w:lineRule="auto"/>
        <w:rPr>
          <w:rFonts w:ascii="Times New Roman" w:hAnsi="Times New Roman" w:eastAsia="宋体" w:cs="Times New Roman"/>
          <w:sz w:val="24"/>
        </w:rPr>
      </w:pPr>
    </w:p>
    <w:p w14:paraId="7CF28327">
      <w:pPr>
        <w:spacing w:line="360" w:lineRule="auto"/>
        <w:rPr>
          <w:rFonts w:ascii="Times New Roman" w:hAnsi="Times New Roman" w:eastAsia="宋体" w:cs="Times New Roman"/>
          <w:sz w:val="24"/>
        </w:rPr>
      </w:pPr>
    </w:p>
    <w:p w14:paraId="45006FCA">
      <w:pPr>
        <w:spacing w:line="360" w:lineRule="auto"/>
        <w:rPr>
          <w:rFonts w:ascii="Times New Roman" w:hAnsi="Times New Roman" w:eastAsia="宋体" w:cs="Times New Roman"/>
          <w:sz w:val="24"/>
        </w:rPr>
      </w:pPr>
    </w:p>
    <w:p w14:paraId="464B267D">
      <w:pPr>
        <w:spacing w:line="360" w:lineRule="auto"/>
        <w:rPr>
          <w:rFonts w:ascii="Times New Roman" w:hAnsi="Times New Roman" w:eastAsia="宋体" w:cs="Times New Roman"/>
          <w:sz w:val="24"/>
        </w:rPr>
      </w:pPr>
    </w:p>
    <w:p w14:paraId="5BE4C310">
      <w:pPr>
        <w:pStyle w:val="3"/>
        <w:spacing w:before="0" w:after="0" w:line="360" w:lineRule="auto"/>
        <w:rPr>
          <w:rFonts w:ascii="Times New Roman" w:hAnsi="Times New Roman" w:eastAsia="宋体" w:cs="Times New Roman"/>
          <w:sz w:val="24"/>
          <w:szCs w:val="24"/>
        </w:rPr>
      </w:pPr>
      <w:bookmarkStart w:id="2" w:name="_Toc495677503"/>
      <w:bookmarkStart w:id="3" w:name="_Toc421622105"/>
      <w:r>
        <w:rPr>
          <w:rFonts w:ascii="Times New Roman" w:hAnsi="Times New Roman" w:eastAsia="宋体" w:cs="Times New Roman"/>
          <w:sz w:val="24"/>
        </w:rPr>
        <w:br w:type="page"/>
      </w:r>
      <w:bookmarkStart w:id="4" w:name="_Toc4718"/>
      <w:bookmarkStart w:id="5" w:name="_Toc12784"/>
      <w:bookmarkStart w:id="6" w:name="_Toc37675382"/>
      <w:bookmarkStart w:id="7" w:name="_Hlk202796320"/>
      <w:r>
        <w:rPr>
          <w:rFonts w:ascii="Times New Roman" w:hAnsi="Times New Roman" w:eastAsia="宋体" w:cs="Times New Roman"/>
          <w:sz w:val="24"/>
          <w:szCs w:val="24"/>
        </w:rPr>
        <w:t>附件 2  法定代表人/负责人身份证明(格式，原件)</w:t>
      </w:r>
      <w:bookmarkEnd w:id="2"/>
      <w:bookmarkEnd w:id="3"/>
      <w:bookmarkEnd w:id="4"/>
      <w:bookmarkEnd w:id="5"/>
      <w:bookmarkEnd w:id="6"/>
    </w:p>
    <w:p w14:paraId="2929C600">
      <w:pPr>
        <w:pStyle w:val="9"/>
        <w:kinsoku w:val="0"/>
        <w:overflowPunct w:val="0"/>
        <w:autoSpaceDE w:val="0"/>
        <w:autoSpaceDN w:val="0"/>
        <w:spacing w:line="360" w:lineRule="auto"/>
        <w:ind w:firstLine="211"/>
        <w:rPr>
          <w:rFonts w:ascii="Times New Roman" w:hAnsi="Times New Roman" w:eastAsia="宋体" w:cs="Times New Roman"/>
          <w:b/>
          <w:kern w:val="0"/>
          <w:sz w:val="24"/>
          <w:szCs w:val="24"/>
        </w:rPr>
      </w:pPr>
    </w:p>
    <w:p w14:paraId="2F5B9E83">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法定代表人/负责人身份证明</w:t>
      </w:r>
    </w:p>
    <w:p w14:paraId="7DA138E4">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14:paraId="0E9C0E6B">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14:paraId="6D5EF5BD">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14:paraId="7D32D1C5">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14:paraId="1F6078B0">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14:paraId="2C944E95">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14:paraId="5C2C2F10">
      <w:pPr>
        <w:pStyle w:val="9"/>
        <w:spacing w:line="360" w:lineRule="auto"/>
        <w:ind w:firstLine="210"/>
        <w:rPr>
          <w:rFonts w:ascii="Times New Roman" w:hAnsi="Times New Roman" w:eastAsia="宋体" w:cs="Times New Roman"/>
          <w:sz w:val="24"/>
          <w:szCs w:val="24"/>
        </w:rPr>
      </w:pPr>
    </w:p>
    <w:p w14:paraId="37C4E121">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5E46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C1679DA">
            <w:pPr>
              <w:tabs>
                <w:tab w:val="left" w:pos="5580"/>
              </w:tabs>
              <w:spacing w:line="360" w:lineRule="auto"/>
              <w:jc w:val="left"/>
              <w:rPr>
                <w:rFonts w:ascii="Times New Roman" w:hAnsi="Times New Roman" w:eastAsia="宋体" w:cs="Times New Roman"/>
                <w:sz w:val="24"/>
                <w:szCs w:val="20"/>
              </w:rPr>
            </w:pPr>
          </w:p>
          <w:p w14:paraId="3BD29579">
            <w:pPr>
              <w:tabs>
                <w:tab w:val="left" w:pos="5580"/>
              </w:tabs>
              <w:spacing w:line="360" w:lineRule="auto"/>
              <w:jc w:val="left"/>
              <w:rPr>
                <w:rFonts w:ascii="Times New Roman" w:hAnsi="Times New Roman" w:eastAsia="宋体" w:cs="Times New Roman"/>
                <w:sz w:val="24"/>
                <w:szCs w:val="20"/>
              </w:rPr>
            </w:pPr>
          </w:p>
          <w:p w14:paraId="6B749B73">
            <w:pPr>
              <w:tabs>
                <w:tab w:val="left" w:pos="5580"/>
              </w:tabs>
              <w:spacing w:line="360" w:lineRule="auto"/>
              <w:jc w:val="left"/>
              <w:rPr>
                <w:rFonts w:ascii="Times New Roman" w:hAnsi="Times New Roman" w:eastAsia="宋体" w:cs="Times New Roman"/>
                <w:sz w:val="24"/>
                <w:szCs w:val="20"/>
              </w:rPr>
            </w:pPr>
          </w:p>
        </w:tc>
        <w:tc>
          <w:tcPr>
            <w:tcW w:w="4536" w:type="dxa"/>
          </w:tcPr>
          <w:p w14:paraId="176AEA70">
            <w:pPr>
              <w:tabs>
                <w:tab w:val="left" w:pos="5580"/>
              </w:tabs>
              <w:spacing w:line="360" w:lineRule="auto"/>
              <w:jc w:val="left"/>
              <w:rPr>
                <w:rFonts w:ascii="Times New Roman" w:hAnsi="Times New Roman" w:eastAsia="宋体" w:cs="Times New Roman"/>
                <w:sz w:val="24"/>
                <w:szCs w:val="20"/>
              </w:rPr>
            </w:pPr>
          </w:p>
          <w:p w14:paraId="7F95E8C6">
            <w:pPr>
              <w:tabs>
                <w:tab w:val="left" w:pos="5580"/>
              </w:tabs>
              <w:spacing w:line="360" w:lineRule="auto"/>
              <w:jc w:val="left"/>
              <w:rPr>
                <w:rFonts w:ascii="Times New Roman" w:hAnsi="Times New Roman" w:eastAsia="宋体" w:cs="Times New Roman"/>
                <w:sz w:val="24"/>
                <w:szCs w:val="20"/>
              </w:rPr>
            </w:pPr>
          </w:p>
          <w:p w14:paraId="726444FF">
            <w:pPr>
              <w:tabs>
                <w:tab w:val="left" w:pos="5580"/>
              </w:tabs>
              <w:spacing w:line="360" w:lineRule="auto"/>
              <w:jc w:val="left"/>
              <w:rPr>
                <w:rFonts w:ascii="Times New Roman" w:hAnsi="Times New Roman" w:eastAsia="宋体" w:cs="Times New Roman"/>
                <w:sz w:val="24"/>
                <w:szCs w:val="20"/>
              </w:rPr>
            </w:pPr>
          </w:p>
        </w:tc>
      </w:tr>
    </w:tbl>
    <w:p w14:paraId="11723DD5">
      <w:pPr>
        <w:pStyle w:val="9"/>
        <w:tabs>
          <w:tab w:val="left" w:pos="5580"/>
        </w:tabs>
        <w:spacing w:line="360" w:lineRule="auto"/>
        <w:ind w:firstLine="210"/>
        <w:rPr>
          <w:rFonts w:ascii="Times New Roman" w:hAnsi="Times New Roman" w:eastAsia="宋体" w:cs="Times New Roman"/>
          <w:sz w:val="24"/>
          <w:szCs w:val="24"/>
        </w:rPr>
      </w:pPr>
    </w:p>
    <w:p w14:paraId="0C567B45">
      <w:pPr>
        <w:pStyle w:val="9"/>
        <w:tabs>
          <w:tab w:val="left" w:pos="5580"/>
        </w:tabs>
        <w:spacing w:line="360" w:lineRule="auto"/>
        <w:ind w:firstLine="210"/>
        <w:rPr>
          <w:rFonts w:ascii="Times New Roman" w:hAnsi="Times New Roman" w:eastAsia="宋体" w:cs="Times New Roman"/>
          <w:sz w:val="24"/>
          <w:szCs w:val="24"/>
        </w:rPr>
      </w:pPr>
    </w:p>
    <w:p w14:paraId="4EFF751D">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14:paraId="6077E7DB">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14:paraId="19CEBBC7">
      <w:pPr>
        <w:pStyle w:val="9"/>
        <w:spacing w:line="360" w:lineRule="auto"/>
        <w:ind w:firstLine="480" w:firstLineChars="200"/>
        <w:rPr>
          <w:rFonts w:ascii="Times New Roman" w:hAnsi="Times New Roman" w:eastAsia="宋体" w:cs="Times New Roman"/>
          <w:sz w:val="24"/>
          <w:szCs w:val="24"/>
        </w:rPr>
      </w:pPr>
    </w:p>
    <w:p w14:paraId="23EAEE07">
      <w:pPr>
        <w:pStyle w:val="37"/>
        <w:tabs>
          <w:tab w:val="left" w:pos="420"/>
          <w:tab w:val="left" w:pos="660"/>
        </w:tabs>
        <w:snapToGrid w:val="0"/>
        <w:spacing w:before="0" w:line="360" w:lineRule="auto"/>
        <w:ind w:left="0"/>
        <w:outlineLvl w:val="9"/>
        <w:rPr>
          <w:rFonts w:ascii="Times New Roman" w:hAnsi="Times New Roman" w:eastAsia="宋体" w:cs="Times New Roman"/>
          <w:color w:val="auto"/>
          <w:sz w:val="24"/>
          <w:szCs w:val="24"/>
        </w:rPr>
      </w:pPr>
    </w:p>
    <w:p w14:paraId="0CA50EB1">
      <w:pPr>
        <w:widowControl/>
        <w:spacing w:line="360" w:lineRule="auto"/>
        <w:jc w:val="left"/>
        <w:rPr>
          <w:rFonts w:ascii="Times New Roman" w:hAnsi="Times New Roman" w:eastAsia="宋体" w:cs="Times New Roman"/>
          <w:b/>
          <w:bCs/>
          <w:kern w:val="0"/>
          <w:sz w:val="24"/>
          <w:szCs w:val="24"/>
        </w:rPr>
      </w:pPr>
    </w:p>
    <w:p w14:paraId="0D4AA7B1">
      <w:pPr>
        <w:pStyle w:val="3"/>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8" w:name="_Toc29548"/>
      <w:bookmarkStart w:id="9" w:name="_Toc14596"/>
      <w:bookmarkStart w:id="10" w:name="_Toc37675383"/>
      <w:r>
        <w:rPr>
          <w:rFonts w:ascii="Times New Roman" w:hAnsi="Times New Roman" w:eastAsia="宋体" w:cs="Times New Roman"/>
          <w:sz w:val="24"/>
          <w:szCs w:val="24"/>
        </w:rPr>
        <w:t>附件 3  法定代表人/负责人授权书（格式，原件）</w:t>
      </w:r>
      <w:bookmarkEnd w:id="8"/>
      <w:bookmarkEnd w:id="9"/>
      <w:bookmarkEnd w:id="10"/>
    </w:p>
    <w:p w14:paraId="3217F1FD">
      <w:pPr>
        <w:pStyle w:val="9"/>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6D19A3B2">
      <w:pPr>
        <w:pStyle w:val="9"/>
        <w:spacing w:line="360" w:lineRule="auto"/>
        <w:rPr>
          <w:rFonts w:ascii="Times New Roman" w:hAnsi="Times New Roman" w:eastAsia="宋体" w:cs="Times New Roman"/>
          <w:sz w:val="24"/>
          <w:szCs w:val="24"/>
        </w:rPr>
      </w:pPr>
    </w:p>
    <w:p w14:paraId="4E0F1EA6">
      <w:pPr>
        <w:spacing w:line="360" w:lineRule="auto"/>
        <w:jc w:val="center"/>
        <w:rPr>
          <w:rFonts w:ascii="Times New Roman" w:hAnsi="Times New Roman" w:eastAsia="宋体" w:cs="Times New Roman"/>
          <w:b/>
          <w:sz w:val="24"/>
          <w:szCs w:val="24"/>
        </w:rPr>
      </w:pPr>
      <w:bookmarkStart w:id="11" w:name="_Toc16007829"/>
      <w:r>
        <w:rPr>
          <w:rFonts w:ascii="Times New Roman" w:hAnsi="Times New Roman" w:eastAsia="宋体" w:cs="Times New Roman"/>
          <w:b/>
          <w:sz w:val="24"/>
          <w:szCs w:val="24"/>
        </w:rPr>
        <w:t>法定代表人/负责人授权书</w:t>
      </w:r>
      <w:bookmarkEnd w:id="11"/>
    </w:p>
    <w:p w14:paraId="32A10385">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的比选，以本公司名义处理一切与之有关的事务。　　</w:t>
      </w:r>
    </w:p>
    <w:p w14:paraId="58255AEC">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14:paraId="5A1DC1F7">
      <w:pPr>
        <w:pStyle w:val="9"/>
        <w:spacing w:line="360" w:lineRule="auto"/>
        <w:rPr>
          <w:rFonts w:ascii="Times New Roman" w:hAnsi="Times New Roman" w:eastAsia="宋体" w:cs="Times New Roman"/>
          <w:sz w:val="24"/>
          <w:szCs w:val="24"/>
        </w:rPr>
      </w:pPr>
    </w:p>
    <w:p w14:paraId="70A61BC0">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14:paraId="04D434DC">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14:paraId="60737AF3">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14:paraId="165E224A">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14:paraId="25DB6F7A">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14:paraId="03C576DB">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14:paraId="0F914654">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14:paraId="5EDC9A88">
      <w:pPr>
        <w:pStyle w:val="9"/>
        <w:spacing w:line="360" w:lineRule="auto"/>
        <w:rPr>
          <w:rFonts w:ascii="Times New Roman" w:hAnsi="Times New Roman" w:eastAsia="宋体" w:cs="Times New Roman"/>
          <w:sz w:val="24"/>
          <w:szCs w:val="24"/>
        </w:rPr>
      </w:pPr>
    </w:p>
    <w:p w14:paraId="326213A7">
      <w:pPr>
        <w:pStyle w:val="2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被授权人的身份证明：有效的身份证正反面复印件，或有效的护照复印件。</w:t>
      </w:r>
    </w:p>
    <w:tbl>
      <w:tblPr>
        <w:tblStyle w:val="2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1EB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FC73027">
            <w:pPr>
              <w:tabs>
                <w:tab w:val="left" w:pos="5580"/>
              </w:tabs>
              <w:spacing w:line="360" w:lineRule="auto"/>
              <w:jc w:val="left"/>
              <w:rPr>
                <w:rFonts w:ascii="Times New Roman" w:hAnsi="Times New Roman" w:eastAsia="宋体" w:cs="Times New Roman"/>
                <w:sz w:val="24"/>
                <w:szCs w:val="20"/>
              </w:rPr>
            </w:pPr>
            <w:r>
              <w:rPr>
                <w:rFonts w:ascii="Times New Roman" w:hAnsi="Times New Roman" w:eastAsia="宋体" w:cs="Times New Roman"/>
                <w:sz w:val="24"/>
                <w:szCs w:val="24"/>
              </w:rPr>
              <w:br w:type="page"/>
            </w:r>
          </w:p>
          <w:p w14:paraId="538FC491">
            <w:pPr>
              <w:tabs>
                <w:tab w:val="left" w:pos="5580"/>
              </w:tabs>
              <w:spacing w:line="360" w:lineRule="auto"/>
              <w:jc w:val="left"/>
              <w:rPr>
                <w:rFonts w:ascii="Times New Roman" w:hAnsi="Times New Roman" w:eastAsia="宋体" w:cs="Times New Roman"/>
                <w:sz w:val="24"/>
                <w:szCs w:val="20"/>
              </w:rPr>
            </w:pPr>
          </w:p>
          <w:p w14:paraId="7B29CC62">
            <w:pPr>
              <w:tabs>
                <w:tab w:val="left" w:pos="5580"/>
              </w:tabs>
              <w:spacing w:line="360" w:lineRule="auto"/>
              <w:jc w:val="left"/>
              <w:rPr>
                <w:rFonts w:ascii="Times New Roman" w:hAnsi="Times New Roman" w:eastAsia="宋体" w:cs="Times New Roman"/>
                <w:sz w:val="24"/>
                <w:szCs w:val="20"/>
              </w:rPr>
            </w:pPr>
          </w:p>
        </w:tc>
        <w:tc>
          <w:tcPr>
            <w:tcW w:w="4536" w:type="dxa"/>
          </w:tcPr>
          <w:p w14:paraId="0433D42E">
            <w:pPr>
              <w:tabs>
                <w:tab w:val="left" w:pos="5580"/>
              </w:tabs>
              <w:spacing w:line="360" w:lineRule="auto"/>
              <w:jc w:val="left"/>
              <w:rPr>
                <w:rFonts w:ascii="Times New Roman" w:hAnsi="Times New Roman" w:eastAsia="宋体" w:cs="Times New Roman"/>
                <w:sz w:val="24"/>
                <w:szCs w:val="20"/>
              </w:rPr>
            </w:pPr>
          </w:p>
          <w:p w14:paraId="77530206">
            <w:pPr>
              <w:tabs>
                <w:tab w:val="left" w:pos="5580"/>
              </w:tabs>
              <w:spacing w:line="360" w:lineRule="auto"/>
              <w:jc w:val="left"/>
              <w:rPr>
                <w:rFonts w:ascii="Times New Roman" w:hAnsi="Times New Roman" w:eastAsia="宋体" w:cs="Times New Roman"/>
                <w:sz w:val="24"/>
                <w:szCs w:val="20"/>
              </w:rPr>
            </w:pPr>
          </w:p>
          <w:p w14:paraId="427F855A">
            <w:pPr>
              <w:tabs>
                <w:tab w:val="left" w:pos="5580"/>
              </w:tabs>
              <w:spacing w:line="360" w:lineRule="auto"/>
              <w:jc w:val="left"/>
              <w:rPr>
                <w:rFonts w:ascii="Times New Roman" w:hAnsi="Times New Roman" w:eastAsia="宋体" w:cs="Times New Roman"/>
                <w:sz w:val="24"/>
                <w:szCs w:val="20"/>
              </w:rPr>
            </w:pPr>
          </w:p>
        </w:tc>
      </w:tr>
    </w:tbl>
    <w:p w14:paraId="2A9D0BA3">
      <w:pPr>
        <w:spacing w:line="360" w:lineRule="auto"/>
        <w:rPr>
          <w:rFonts w:ascii="Times New Roman" w:hAnsi="Times New Roman" w:eastAsia="宋体" w:cs="Times New Roman"/>
          <w:sz w:val="24"/>
          <w:szCs w:val="24"/>
        </w:rPr>
      </w:pPr>
    </w:p>
    <w:bookmarkEnd w:id="7"/>
    <w:p w14:paraId="7D9B90DA">
      <w:pPr>
        <w:pStyle w:val="3"/>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0053572E">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附件二</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w:t>
      </w:r>
      <w:r>
        <w:rPr>
          <w:rFonts w:hint="eastAsia" w:ascii="Times New Roman" w:hAnsi="Times New Roman" w:eastAsia="宋体" w:cs="Times New Roman"/>
          <w:sz w:val="28"/>
          <w:szCs w:val="28"/>
        </w:rPr>
        <w:t>：</w:t>
      </w:r>
    </w:p>
    <w:p w14:paraId="283B10C4">
      <w:pPr>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一、采购标的</w:t>
      </w:r>
    </w:p>
    <w:p w14:paraId="5513F4F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采购标的</w:t>
      </w:r>
    </w:p>
    <w:p w14:paraId="30ADAC1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重点站区南站地区优化提升信息化配套建设</w:t>
      </w:r>
    </w:p>
    <w:p w14:paraId="4D53701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项目概述</w:t>
      </w:r>
    </w:p>
    <w:p w14:paraId="161474F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2.1项目建设目标</w:t>
      </w:r>
    </w:p>
    <w:p w14:paraId="1601160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南站地区小型消防站视频会议系统及营区监控建设项目，在重点站区管委会统一规划和指导下开展，依照国家消防救援局、北京市消防救援总队的相关建设标准进行配置。本次项目建设以做好南站小型站正常通信保障、强化内部队伍管理，以及具备日常会议学习功能为目标，着眼于小型消防站功能完备问题，围绕应急调度指挥、视频会议链接、营区远程管控和日常组会学习等方面，完成小型消防站会议系统及营区监控建设，纳入北京消防总队统一调度、信息互通、队伍统一管理，随时接受北京消防总队统一管理，切实保障小型消防站日常运行，承担起火灾事故应急指挥保障任务，满足突发事件应急处置需要及日常管理需要。</w:t>
      </w:r>
    </w:p>
    <w:p w14:paraId="1B6E4C0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2.2建设内容</w:t>
      </w:r>
    </w:p>
    <w:p w14:paraId="3029D24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小型消防站视频会议系统，满足小型站在日常出警、参加会议、执行勤务等工作中的设备要求。按总队配置要求，采购视频指挥终端应基于应急调度网，北京消防总队统一使用华平设备。视频会议终端基于政务外网。建设后需确保视频信号能够连通北京消防总队，实现参加总队会议、培训、远程调度、前置执勤等任务。同时配置会议室相关设备，完成内部开会、学习、战评、考试等功能。</w:t>
      </w:r>
    </w:p>
    <w:p w14:paraId="1979E3B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营区监控系统。根据北京消防总队队伍管理要求，实现营区内部安全监控，营区外围安全监控，消防员出警速度远程监控，小型站人员出入营区监控，消防员晚点名及值岗情况监控等功能。该系统应基于应急调度网，且根据《北京消防救援总队营区视频监控系统技术标准》要求 ，消防站视频管理平台由显示控制设备、存储设备、智能分析设备、网络设备组成，部署在应急指挥网。视频管理平台应具备前端摄像机的接入功能、视频预览功能、录像存储回放功能、入侵报警功能、智能分析功能。消防站负责本级视频资源存储，存储时间不低于30天</w:t>
      </w:r>
    </w:p>
    <w:p w14:paraId="569ADCC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南站小型消防站通过存储设备接入、管理本级所有视频资源，并通过网络接入支队级视频（综合）管理平台，满各消防站智能分析设备应具备训练场操课、门岗和通信室值守、消防车辆进出、人员清点等图像分析功能足营区管理需求。</w:t>
      </w:r>
    </w:p>
    <w:p w14:paraId="5B485BA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2.3设备采购清单</w:t>
      </w:r>
    </w:p>
    <w:p w14:paraId="4C5B3609">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（一）视频终端相关设备</w:t>
      </w:r>
    </w:p>
    <w:tbl>
      <w:tblPr>
        <w:tblStyle w:val="20"/>
        <w:tblW w:w="50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2"/>
        <w:gridCol w:w="2318"/>
        <w:gridCol w:w="653"/>
        <w:gridCol w:w="4950"/>
      </w:tblGrid>
      <w:tr w14:paraId="2613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26E108C9">
            <w:pPr>
              <w:autoSpaceDE w:val="0"/>
              <w:autoSpaceDN w:val="0"/>
              <w:spacing w:line="360" w:lineRule="auto"/>
              <w:jc w:val="center"/>
              <w:rPr>
                <w:rFonts w:ascii="Times New Roman" w:hAnsi="Times New Roman" w:eastAsia="宋体" w:cs="Times New Roman"/>
                <w:b/>
                <w:bCs/>
                <w:sz w:val="18"/>
                <w:szCs w:val="18"/>
                <w:lang w:eastAsia="en-US"/>
              </w:rPr>
            </w:pPr>
            <w:r>
              <w:rPr>
                <w:rFonts w:ascii="Times New Roman" w:hAnsi="Times New Roman" w:eastAsia="宋体" w:cs="Times New Roman"/>
                <w:b/>
                <w:bCs/>
                <w:sz w:val="18"/>
                <w:szCs w:val="18"/>
                <w:lang w:eastAsia="en-US"/>
              </w:rPr>
              <w:t>序号</w:t>
            </w:r>
          </w:p>
        </w:tc>
        <w:tc>
          <w:tcPr>
            <w:tcW w:w="1389" w:type="pct"/>
            <w:vAlign w:val="center"/>
          </w:tcPr>
          <w:p w14:paraId="1147A726">
            <w:pPr>
              <w:autoSpaceDE w:val="0"/>
              <w:autoSpaceDN w:val="0"/>
              <w:spacing w:line="360" w:lineRule="auto"/>
              <w:jc w:val="center"/>
              <w:rPr>
                <w:rFonts w:ascii="Times New Roman" w:hAnsi="Times New Roman" w:eastAsia="宋体" w:cs="Times New Roman"/>
                <w:b/>
                <w:bCs/>
                <w:sz w:val="18"/>
                <w:szCs w:val="18"/>
                <w:lang w:eastAsia="en-US"/>
              </w:rPr>
            </w:pPr>
            <w:r>
              <w:rPr>
                <w:rFonts w:ascii="Times New Roman" w:hAnsi="Times New Roman" w:eastAsia="宋体" w:cs="Times New Roman"/>
                <w:b/>
                <w:bCs/>
                <w:sz w:val="18"/>
                <w:szCs w:val="18"/>
                <w:lang w:eastAsia="en-US"/>
              </w:rPr>
              <w:t>货物名称及规格</w:t>
            </w:r>
          </w:p>
        </w:tc>
        <w:tc>
          <w:tcPr>
            <w:tcW w:w="391" w:type="pct"/>
            <w:vAlign w:val="center"/>
          </w:tcPr>
          <w:p w14:paraId="2E982DAA">
            <w:pPr>
              <w:autoSpaceDE w:val="0"/>
              <w:autoSpaceDN w:val="0"/>
              <w:spacing w:line="360" w:lineRule="auto"/>
              <w:jc w:val="center"/>
              <w:rPr>
                <w:rFonts w:ascii="Times New Roman" w:hAnsi="Times New Roman" w:eastAsia="宋体" w:cs="Times New Roman"/>
                <w:b/>
                <w:bCs/>
                <w:sz w:val="18"/>
                <w:szCs w:val="18"/>
                <w:lang w:eastAsia="en-US"/>
              </w:rPr>
            </w:pPr>
            <w:r>
              <w:rPr>
                <w:rFonts w:ascii="Times New Roman" w:hAnsi="Times New Roman" w:eastAsia="宋体" w:cs="Times New Roman"/>
                <w:b/>
                <w:bCs/>
                <w:sz w:val="18"/>
                <w:szCs w:val="18"/>
                <w:lang w:eastAsia="en-US"/>
              </w:rPr>
              <w:t>数量</w:t>
            </w:r>
          </w:p>
        </w:tc>
        <w:tc>
          <w:tcPr>
            <w:tcW w:w="2966" w:type="pct"/>
            <w:vAlign w:val="center"/>
          </w:tcPr>
          <w:p w14:paraId="4CCBF5AF">
            <w:pPr>
              <w:autoSpaceDE w:val="0"/>
              <w:autoSpaceDN w:val="0"/>
              <w:spacing w:line="360" w:lineRule="auto"/>
              <w:jc w:val="center"/>
              <w:rPr>
                <w:rFonts w:ascii="Times New Roman" w:hAnsi="Times New Roman" w:eastAsia="宋体" w:cs="Times New Roman"/>
                <w:b/>
                <w:bCs/>
                <w:sz w:val="18"/>
                <w:szCs w:val="18"/>
                <w:lang w:eastAsia="en-US"/>
              </w:rPr>
            </w:pPr>
            <w:r>
              <w:rPr>
                <w:rFonts w:ascii="Times New Roman" w:hAnsi="Times New Roman" w:eastAsia="宋体" w:cs="Times New Roman"/>
                <w:b/>
                <w:bCs/>
                <w:sz w:val="18"/>
                <w:szCs w:val="18"/>
              </w:rPr>
              <w:t>设备参数</w:t>
            </w:r>
          </w:p>
        </w:tc>
      </w:tr>
      <w:tr w14:paraId="6C017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6754D038">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sz w:val="20"/>
                <w:szCs w:val="20"/>
                <w:lang w:eastAsia="en-US"/>
              </w:rPr>
              <w:t>1</w:t>
            </w:r>
          </w:p>
        </w:tc>
        <w:tc>
          <w:tcPr>
            <w:tcW w:w="1389" w:type="pct"/>
            <w:vAlign w:val="center"/>
          </w:tcPr>
          <w:p w14:paraId="011E6C00">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color w:val="000000"/>
                <w:sz w:val="18"/>
                <w:szCs w:val="18"/>
              </w:rPr>
              <w:t xml:space="preserve">视频会议终端（政务网） </w:t>
            </w:r>
          </w:p>
        </w:tc>
        <w:tc>
          <w:tcPr>
            <w:tcW w:w="391" w:type="pct"/>
            <w:vAlign w:val="center"/>
          </w:tcPr>
          <w:p w14:paraId="2772F171">
            <w:pPr>
              <w:widowControl/>
              <w:spacing w:line="360" w:lineRule="auto"/>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18"/>
                <w:szCs w:val="18"/>
                <w:lang w:eastAsia="en-US"/>
              </w:rPr>
              <w:t>2</w:t>
            </w:r>
          </w:p>
        </w:tc>
        <w:tc>
          <w:tcPr>
            <w:tcW w:w="2966" w:type="pct"/>
            <w:vAlign w:val="center"/>
          </w:tcPr>
          <w:p w14:paraId="147E08CC">
            <w:pPr>
              <w:widowControl/>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符合ITU的H.323以及IETF的SIP标准；</w:t>
            </w:r>
          </w:p>
          <w:p w14:paraId="57AB5320">
            <w:pPr>
              <w:widowControl/>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会议速率：会议速率不劣于64Kbps—6Mbps；</w:t>
            </w:r>
          </w:p>
          <w:p w14:paraId="1773709A">
            <w:pPr>
              <w:widowControl/>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网络接口：终端具备10M/100M/1000M IP网络接口；</w:t>
            </w:r>
          </w:p>
          <w:p w14:paraId="10324243">
            <w:pPr>
              <w:widowControl/>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视频接口：接口支持HD-SDI、DVI、HDMI或VGA；</w:t>
            </w:r>
          </w:p>
          <w:p w14:paraId="35147D69">
            <w:pPr>
              <w:widowControl/>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音频接口：≥2组音频输入；2路音频输出；</w:t>
            </w:r>
          </w:p>
          <w:p w14:paraId="2715D640">
            <w:pPr>
              <w:widowControl/>
              <w:adjustRightInd w:val="0"/>
              <w:snapToGrid w:val="0"/>
              <w:spacing w:before="20" w:after="20"/>
              <w:ind w:left="20"/>
              <w:jc w:val="left"/>
              <w:rPr>
                <w:rFonts w:ascii="Times New Roman" w:hAnsi="Times New Roman" w:eastAsia="宋体" w:cs="Times New Roman"/>
                <w:b/>
                <w:bCs/>
                <w:color w:val="000000"/>
                <w:sz w:val="18"/>
                <w:szCs w:val="18"/>
              </w:rPr>
            </w:pPr>
            <w:r>
              <w:rPr>
                <w:rFonts w:ascii="Times New Roman" w:hAnsi="Times New Roman" w:eastAsia="宋体" w:cs="Times New Roman"/>
                <w:b/>
                <w:bCs/>
                <w:color w:val="000000"/>
                <w:sz w:val="18"/>
                <w:szCs w:val="18"/>
              </w:rPr>
              <w:t>▲摄像机：支持≥1920x1080p 60帧/秒的高清视频输出；</w:t>
            </w:r>
          </w:p>
          <w:p w14:paraId="41E094D2">
            <w:pPr>
              <w:widowControl/>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具备RS232控制接口。</w:t>
            </w:r>
          </w:p>
          <w:p w14:paraId="5E17F329">
            <w:pPr>
              <w:widowControl/>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视频指标：图像格式应支持CIF、4CIF、SVGA、XGA、720p、1080p等格式。</w:t>
            </w:r>
          </w:p>
        </w:tc>
      </w:tr>
      <w:tr w14:paraId="1959B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5CC896BC">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2</w:t>
            </w:r>
          </w:p>
        </w:tc>
        <w:tc>
          <w:tcPr>
            <w:tcW w:w="1389" w:type="pct"/>
            <w:vAlign w:val="center"/>
          </w:tcPr>
          <w:p w14:paraId="69BC344F">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color w:val="000000"/>
                <w:sz w:val="18"/>
                <w:szCs w:val="18"/>
              </w:rPr>
              <w:t xml:space="preserve">指挥视频终端（消防调度网） </w:t>
            </w:r>
          </w:p>
        </w:tc>
        <w:tc>
          <w:tcPr>
            <w:tcW w:w="391" w:type="pct"/>
            <w:vAlign w:val="center"/>
          </w:tcPr>
          <w:p w14:paraId="04EA9C84">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2</w:t>
            </w:r>
          </w:p>
        </w:tc>
        <w:tc>
          <w:tcPr>
            <w:tcW w:w="2966" w:type="pct"/>
            <w:vAlign w:val="center"/>
          </w:tcPr>
          <w:p w14:paraId="0E6FCEBE">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rPr>
            </w:pPr>
            <w:r>
              <w:rPr>
                <w:rFonts w:ascii="Times New Roman" w:hAnsi="Times New Roman" w:eastAsia="宋体" w:cs="Times New Roman"/>
                <w:b/>
                <w:bCs/>
                <w:color w:val="000000"/>
                <w:sz w:val="18"/>
                <w:szCs w:val="18"/>
              </w:rPr>
              <w:t>★（1）需支持直接接入北京市消防救援总队、西站消防处图像综合管理平台，与营区监控设备、卫星图像终端、3G/4G/5G图像终端进行音视频互动，指挥视频终端之间可以实现文档共享等数据交互功能。</w:t>
            </w:r>
          </w:p>
          <w:p w14:paraId="6F7911A5">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（2）视讯通信标准支持ITU-T H.323协议、SIP协议；</w:t>
            </w:r>
          </w:p>
          <w:p w14:paraId="11575D84">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（3）视频标准支持H.264、H.264 High Profile；</w:t>
            </w:r>
          </w:p>
          <w:p w14:paraId="19B40529">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（4）音频标准支持G.711/G722/G.722.1/ G.729/G.719等宽频语音；</w:t>
            </w:r>
          </w:p>
          <w:p w14:paraId="3F7E1B01">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rPr>
            </w:pPr>
            <w:r>
              <w:rPr>
                <w:rFonts w:ascii="Times New Roman" w:hAnsi="Times New Roman" w:eastAsia="宋体" w:cs="Times New Roman"/>
                <w:b/>
                <w:bCs/>
                <w:color w:val="000000"/>
                <w:sz w:val="18"/>
                <w:szCs w:val="18"/>
              </w:rPr>
              <w:t>▲（5）视频特性最高图像编码分辨率：≥1920×1080；</w:t>
            </w:r>
          </w:p>
          <w:p w14:paraId="3837DEF7">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（6）最高图像解码分辨率：≥1920×1080，图像帧率：不劣于5～60帧/秒；</w:t>
            </w:r>
          </w:p>
          <w:p w14:paraId="3F9EEF42">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（7）音频输入接口≥2路，音频输出接口≥1路；音频输入和输出接口需满足1组RCA左右声道接口。</w:t>
            </w:r>
          </w:p>
        </w:tc>
      </w:tr>
      <w:tr w14:paraId="0C65A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3851D45A">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3</w:t>
            </w:r>
          </w:p>
        </w:tc>
        <w:tc>
          <w:tcPr>
            <w:tcW w:w="1389" w:type="pct"/>
            <w:vAlign w:val="center"/>
          </w:tcPr>
          <w:p w14:paraId="359C4363">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无线话筒</w:t>
            </w:r>
          </w:p>
        </w:tc>
        <w:tc>
          <w:tcPr>
            <w:tcW w:w="391" w:type="pct"/>
            <w:vAlign w:val="center"/>
          </w:tcPr>
          <w:p w14:paraId="63BE2ABA">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6</w:t>
            </w:r>
          </w:p>
        </w:tc>
        <w:tc>
          <w:tcPr>
            <w:tcW w:w="2966" w:type="pct"/>
            <w:vAlign w:val="center"/>
          </w:tcPr>
          <w:p w14:paraId="18655DE5">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1、载波频段: UHF530-690.000MHZ（常规：640.000MHZ-690.000MHZ）；</w:t>
            </w:r>
          </w:p>
          <w:p w14:paraId="2E73E7BB">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2、单机频带宽度：50 MHz ；</w:t>
            </w:r>
          </w:p>
          <w:p w14:paraId="1E3AC0D8">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3、单机频道数量：≥2000个；</w:t>
            </w:r>
          </w:p>
          <w:p w14:paraId="2F0F2BE5">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4、频率间隔：25KHz；</w:t>
            </w:r>
          </w:p>
          <w:p w14:paraId="3EFC66F0">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5、音频灵敏度: -48±3dB；</w:t>
            </w:r>
          </w:p>
          <w:p w14:paraId="61D89494">
            <w:pPr>
              <w:autoSpaceDE w:val="0"/>
              <w:autoSpaceDN w:val="0"/>
              <w:adjustRightInd w:val="0"/>
              <w:snapToGrid w:val="0"/>
              <w:spacing w:before="20" w:after="20"/>
              <w:ind w:left="20"/>
              <w:jc w:val="left"/>
              <w:rPr>
                <w:rFonts w:ascii="Times New Roman" w:hAnsi="Times New Roman" w:eastAsia="宋体" w:cs="Times New Roman"/>
                <w:color w:val="000000"/>
                <w:sz w:val="18"/>
                <w:szCs w:val="18"/>
                <w:lang w:eastAsia="en-US"/>
              </w:rPr>
            </w:pPr>
            <w:r>
              <w:rPr>
                <w:rFonts w:ascii="Times New Roman" w:hAnsi="Times New Roman" w:eastAsia="宋体" w:cs="Times New Roman"/>
                <w:color w:val="000000"/>
                <w:sz w:val="18"/>
                <w:szCs w:val="18"/>
                <w:lang w:eastAsia="en-US"/>
              </w:rPr>
              <w:t>6、综合S/N比 : &gt;100dB(A)；</w:t>
            </w:r>
          </w:p>
          <w:p w14:paraId="15166BEC">
            <w:pPr>
              <w:autoSpaceDE w:val="0"/>
              <w:autoSpaceDN w:val="0"/>
              <w:adjustRightInd w:val="0"/>
              <w:snapToGrid w:val="0"/>
              <w:spacing w:before="20" w:after="20"/>
              <w:ind w:left="20"/>
              <w:jc w:val="left"/>
              <w:rPr>
                <w:rFonts w:ascii="Times New Roman" w:hAnsi="Times New Roman" w:eastAsia="宋体" w:cs="Times New Roman"/>
                <w:color w:val="000000"/>
                <w:sz w:val="18"/>
                <w:szCs w:val="18"/>
                <w:lang w:eastAsia="en-US"/>
              </w:rPr>
            </w:pPr>
            <w:r>
              <w:rPr>
                <w:rFonts w:ascii="Times New Roman" w:hAnsi="Times New Roman" w:eastAsia="宋体" w:cs="Times New Roman"/>
                <w:color w:val="000000"/>
                <w:sz w:val="18"/>
                <w:szCs w:val="18"/>
                <w:lang w:eastAsia="en-US"/>
              </w:rPr>
              <w:t>7、指向性频响曲线：300-2000Hz≤-8dB。</w:t>
            </w:r>
          </w:p>
        </w:tc>
      </w:tr>
      <w:tr w14:paraId="66FA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43210D42">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4</w:t>
            </w:r>
          </w:p>
        </w:tc>
        <w:tc>
          <w:tcPr>
            <w:tcW w:w="1389" w:type="pct"/>
            <w:vAlign w:val="center"/>
          </w:tcPr>
          <w:p w14:paraId="593F43CD">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数字话筒主机</w:t>
            </w:r>
          </w:p>
        </w:tc>
        <w:tc>
          <w:tcPr>
            <w:tcW w:w="391" w:type="pct"/>
            <w:vAlign w:val="center"/>
          </w:tcPr>
          <w:p w14:paraId="582114CA">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66" w:type="pct"/>
            <w:vAlign w:val="center"/>
          </w:tcPr>
          <w:p w14:paraId="450BBE72">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1、主控机与会议系统单体连接、控制及声音信号采用同一电缆传送（八芯）；</w:t>
            </w:r>
          </w:p>
          <w:p w14:paraId="5A26CCF3">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2、可独立运作或是外接电脑结合软件同步联动操作，实现多种会务管理功能（会议模式或操作：限制发言、自由发言及先进先出发言等）；</w:t>
            </w:r>
          </w:p>
          <w:p w14:paraId="455BCD0B">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3、单机可实现下列几种会议功能：开放式会议、限制发言、先进先出；</w:t>
            </w:r>
          </w:p>
          <w:p w14:paraId="5CA195D3">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4、可选择同时发言之麦克风数不限于1-9支或全开放式发言；</w:t>
            </w:r>
          </w:p>
          <w:p w14:paraId="0A9844EB">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b/>
                <w:bCs/>
                <w:color w:val="000000"/>
                <w:sz w:val="18"/>
                <w:szCs w:val="18"/>
              </w:rPr>
              <w:t>▲5、内置视像跟踪功能，可实现发言者定位跟踪之功能。</w:t>
            </w:r>
          </w:p>
        </w:tc>
      </w:tr>
      <w:tr w14:paraId="49245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0E9C8983">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5</w:t>
            </w:r>
          </w:p>
        </w:tc>
        <w:tc>
          <w:tcPr>
            <w:tcW w:w="1389" w:type="pct"/>
            <w:vAlign w:val="center"/>
          </w:tcPr>
          <w:p w14:paraId="3D58B2DF">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功率放大器</w:t>
            </w:r>
          </w:p>
        </w:tc>
        <w:tc>
          <w:tcPr>
            <w:tcW w:w="391" w:type="pct"/>
            <w:vAlign w:val="center"/>
          </w:tcPr>
          <w:p w14:paraId="6322B63A">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66" w:type="pct"/>
            <w:vAlign w:val="center"/>
          </w:tcPr>
          <w:p w14:paraId="2A5EAE6B">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1、功放类型：D类或TD类，电源工作范围：AC 100-240V 50Hz。</w:t>
            </w:r>
          </w:p>
          <w:p w14:paraId="03DF43A6">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2、保护功能:开机电源软启动，过热、过流、短路和DC漂移等多重检测保护性能；</w:t>
            </w:r>
          </w:p>
          <w:p w14:paraId="2C9AC359">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3、具备1.4V/1V/0.775V三档输入灵敏度；</w:t>
            </w:r>
          </w:p>
          <w:p w14:paraId="07EF0082">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4、具备立体声/并接/桥接三种工作模式；</w:t>
            </w:r>
          </w:p>
          <w:p w14:paraId="341B6849">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5、具备完整的LED工作状态指示灯；</w:t>
            </w:r>
          </w:p>
          <w:p w14:paraId="177FA45D">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6、具备高通/低通/直通三档输入模式；</w:t>
            </w:r>
          </w:p>
          <w:p w14:paraId="116CAAA4">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7、COMBO XLR平衡输入端口（兼容6.35插口）和快装式输出端口。</w:t>
            </w:r>
          </w:p>
          <w:p w14:paraId="7D49241B">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8、可变风冷散热系统，内置自动压限器，功率1000W。</w:t>
            </w:r>
          </w:p>
        </w:tc>
      </w:tr>
      <w:tr w14:paraId="6B82B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0F32CC6A">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6</w:t>
            </w:r>
          </w:p>
        </w:tc>
        <w:tc>
          <w:tcPr>
            <w:tcW w:w="1389" w:type="pct"/>
            <w:vAlign w:val="center"/>
          </w:tcPr>
          <w:p w14:paraId="122302E2">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数字调音台</w:t>
            </w:r>
          </w:p>
        </w:tc>
        <w:tc>
          <w:tcPr>
            <w:tcW w:w="391" w:type="pct"/>
            <w:vAlign w:val="center"/>
          </w:tcPr>
          <w:p w14:paraId="42D9D5AD">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66" w:type="pct"/>
            <w:vAlign w:val="center"/>
          </w:tcPr>
          <w:p w14:paraId="011D53B7">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数字调音台≥16路；会议室.用于会议系统输入输出设备的音源管理。</w:t>
            </w:r>
          </w:p>
        </w:tc>
      </w:tr>
      <w:tr w14:paraId="0302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2FECB64B">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7</w:t>
            </w:r>
          </w:p>
        </w:tc>
        <w:tc>
          <w:tcPr>
            <w:tcW w:w="1389" w:type="pct"/>
            <w:vAlign w:val="center"/>
          </w:tcPr>
          <w:p w14:paraId="76EAD67A">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移动摄像机</w:t>
            </w:r>
          </w:p>
        </w:tc>
        <w:tc>
          <w:tcPr>
            <w:tcW w:w="391" w:type="pct"/>
            <w:vAlign w:val="center"/>
          </w:tcPr>
          <w:p w14:paraId="536C7979">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66" w:type="pct"/>
            <w:vAlign w:val="center"/>
          </w:tcPr>
          <w:p w14:paraId="2D088D4B">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rPr>
            </w:pPr>
            <w:r>
              <w:rPr>
                <w:rFonts w:ascii="Times New Roman" w:hAnsi="Times New Roman" w:eastAsia="宋体" w:cs="Times New Roman"/>
                <w:b/>
                <w:bCs/>
                <w:color w:val="000000"/>
                <w:sz w:val="18"/>
                <w:szCs w:val="18"/>
              </w:rPr>
              <w:t>▲高清数码录像、光学变焦≥12倍、电子防抖</w:t>
            </w:r>
            <w:r>
              <w:rPr>
                <w:rFonts w:hint="eastAsia" w:ascii="Times New Roman" w:hAnsi="Times New Roman" w:eastAsia="宋体" w:cs="Times New Roman"/>
                <w:b/>
                <w:bCs/>
                <w:color w:val="000000"/>
                <w:sz w:val="18"/>
                <w:szCs w:val="18"/>
              </w:rPr>
              <w:t>；</w:t>
            </w:r>
          </w:p>
          <w:p w14:paraId="5E940D17">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内置麦克风、触屏操作、4K超清画质、全玻光学镜头组、≥256G存储、自带可移动性三角架；会议室.重要会议或培训会议高清数码录像。</w:t>
            </w:r>
          </w:p>
        </w:tc>
      </w:tr>
      <w:tr w14:paraId="3D76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3AC176FE">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8</w:t>
            </w:r>
          </w:p>
        </w:tc>
        <w:tc>
          <w:tcPr>
            <w:tcW w:w="1389" w:type="pct"/>
            <w:vAlign w:val="center"/>
          </w:tcPr>
          <w:p w14:paraId="7A6C1C8E">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电源时序器</w:t>
            </w:r>
          </w:p>
        </w:tc>
        <w:tc>
          <w:tcPr>
            <w:tcW w:w="391" w:type="pct"/>
            <w:vAlign w:val="center"/>
          </w:tcPr>
          <w:p w14:paraId="7DA9E8FD">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66" w:type="pct"/>
            <w:vAlign w:val="center"/>
          </w:tcPr>
          <w:p w14:paraId="651B5CD2">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1、不少于8路可控电源（国标五孔插座）、2路长通电源（国标五孔插座）。</w:t>
            </w:r>
          </w:p>
          <w:p w14:paraId="10B83025">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2、单通道最大输出电流不小于10A；</w:t>
            </w:r>
          </w:p>
          <w:p w14:paraId="0CB04F37">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3、额定总输出电源不小于30A；内置30A电源滤波器；总电源带空气开关；</w:t>
            </w:r>
          </w:p>
          <w:p w14:paraId="3234B62E">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4、针对不同设备启动时间，每路电源开关时间支持0-999秒设定。</w:t>
            </w:r>
          </w:p>
        </w:tc>
      </w:tr>
      <w:tr w14:paraId="4F9EA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47F98EA2">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9</w:t>
            </w:r>
          </w:p>
        </w:tc>
        <w:tc>
          <w:tcPr>
            <w:tcW w:w="1389" w:type="pct"/>
            <w:vAlign w:val="center"/>
          </w:tcPr>
          <w:p w14:paraId="1BDC7534">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数字话筒代表单元</w:t>
            </w:r>
          </w:p>
        </w:tc>
        <w:tc>
          <w:tcPr>
            <w:tcW w:w="391" w:type="pct"/>
            <w:vAlign w:val="center"/>
          </w:tcPr>
          <w:p w14:paraId="339E55E9">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6</w:t>
            </w:r>
          </w:p>
        </w:tc>
        <w:tc>
          <w:tcPr>
            <w:tcW w:w="2966" w:type="pct"/>
            <w:vAlign w:val="center"/>
          </w:tcPr>
          <w:p w14:paraId="6688C841">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1、双备份系统设计，会议系统的故障不会影响到幻象麦克风的使用；</w:t>
            </w:r>
          </w:p>
          <w:p w14:paraId="14F2F49B">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2、单元采用方管设计，金属底座、抗干扰、超心型指向性，内置≥14MM纯金振膜音头；</w:t>
            </w:r>
          </w:p>
          <w:p w14:paraId="1164DBAF">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3、采用T型总线手拉手连接技术；</w:t>
            </w:r>
          </w:p>
          <w:p w14:paraId="3721A462">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4、系统具有自动修复功能，支持线路的“热插拔”；</w:t>
            </w:r>
          </w:p>
          <w:p w14:paraId="230C663C">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5、具有LCD显示屏、具麦克风发言按键及发言指示灯，可控制及显示麦克风开启/关闭。</w:t>
            </w:r>
          </w:p>
        </w:tc>
      </w:tr>
      <w:tr w14:paraId="4B0B1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501C9140">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10</w:t>
            </w:r>
          </w:p>
        </w:tc>
        <w:tc>
          <w:tcPr>
            <w:tcW w:w="1389" w:type="pct"/>
            <w:vAlign w:val="center"/>
          </w:tcPr>
          <w:p w14:paraId="2573C85F">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音响</w:t>
            </w:r>
          </w:p>
        </w:tc>
        <w:tc>
          <w:tcPr>
            <w:tcW w:w="391" w:type="pct"/>
            <w:vAlign w:val="center"/>
          </w:tcPr>
          <w:p w14:paraId="09937F85">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2</w:t>
            </w:r>
          </w:p>
        </w:tc>
        <w:tc>
          <w:tcPr>
            <w:tcW w:w="2966" w:type="pct"/>
            <w:vAlign w:val="center"/>
          </w:tcPr>
          <w:p w14:paraId="4BD2716D">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1、额定阻抗：8</w:t>
            </w:r>
            <w:r>
              <w:rPr>
                <w:rFonts w:ascii="Times New Roman" w:hAnsi="Times New Roman" w:eastAsia="宋体" w:cs="Times New Roman"/>
                <w:color w:val="000000"/>
                <w:sz w:val="18"/>
                <w:szCs w:val="18"/>
                <w:lang w:eastAsia="en-US"/>
              </w:rPr>
              <w:t>Ω</w:t>
            </w:r>
            <w:r>
              <w:rPr>
                <w:rFonts w:ascii="Times New Roman" w:hAnsi="Times New Roman" w:eastAsia="宋体" w:cs="Times New Roman"/>
                <w:color w:val="000000"/>
                <w:sz w:val="18"/>
                <w:szCs w:val="18"/>
              </w:rPr>
              <w:t>；</w:t>
            </w:r>
          </w:p>
          <w:p w14:paraId="3339F0ED">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2、额定功率（AES）：≥150W；</w:t>
            </w:r>
          </w:p>
          <w:p w14:paraId="2AB970E0">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3、额定驱动电压（AES）：34.6V（8</w:t>
            </w:r>
            <w:r>
              <w:rPr>
                <w:rFonts w:ascii="Times New Roman" w:hAnsi="Times New Roman" w:eastAsia="宋体" w:cs="Times New Roman"/>
                <w:color w:val="000000"/>
                <w:sz w:val="18"/>
                <w:szCs w:val="18"/>
                <w:lang w:eastAsia="en-US"/>
              </w:rPr>
              <w:t>Ω</w:t>
            </w:r>
            <w:r>
              <w:rPr>
                <w:rFonts w:ascii="Times New Roman" w:hAnsi="Times New Roman" w:eastAsia="宋体" w:cs="Times New Roman"/>
                <w:color w:val="000000"/>
                <w:sz w:val="18"/>
                <w:szCs w:val="18"/>
              </w:rPr>
              <w:t>）；</w:t>
            </w:r>
          </w:p>
          <w:p w14:paraId="593A9DFA">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4、特性灵敏度：≥93dB；</w:t>
            </w:r>
          </w:p>
          <w:p w14:paraId="54609726">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5、连续声压级：≥115dB；</w:t>
            </w:r>
          </w:p>
          <w:p w14:paraId="67095170">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6、最大声压级：≥121dB；</w:t>
            </w:r>
          </w:p>
          <w:p w14:paraId="359DCC3F">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7、额定频率范围：不劣于130～18000Hz。</w:t>
            </w:r>
          </w:p>
        </w:tc>
      </w:tr>
      <w:tr w14:paraId="5D293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3" w:type="pct"/>
            <w:vAlign w:val="center"/>
          </w:tcPr>
          <w:p w14:paraId="3E35A1DB">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11</w:t>
            </w:r>
          </w:p>
        </w:tc>
        <w:tc>
          <w:tcPr>
            <w:tcW w:w="1389" w:type="pct"/>
            <w:vAlign w:val="center"/>
          </w:tcPr>
          <w:p w14:paraId="5B3ECB77">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65寸智慧屏</w:t>
            </w:r>
          </w:p>
        </w:tc>
        <w:tc>
          <w:tcPr>
            <w:tcW w:w="391" w:type="pct"/>
            <w:vAlign w:val="center"/>
          </w:tcPr>
          <w:p w14:paraId="53DED339">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2</w:t>
            </w:r>
          </w:p>
        </w:tc>
        <w:tc>
          <w:tcPr>
            <w:tcW w:w="2966" w:type="pct"/>
            <w:vAlign w:val="center"/>
          </w:tcPr>
          <w:p w14:paraId="4E0C8956">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显示屏尺寸：≥65英寸。面板技术：单屏LED。分辨率：≥1920*1080。书写方式：手指或书写笔。响应时间：≤35ms。触摸点数：≥二十点。存储：RAM：≥12GB，ROM：≥64GB。喇叭数量：≥6个。频率：不劣于40-20kHz。摄像头参数：分辨率4K纠错，视场角≥80°，≥2倍数字变焦，Auto-Framing智能视角设定，防雾防尘防闪烁。</w:t>
            </w:r>
          </w:p>
          <w:p w14:paraId="08C4D6AA">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w:t>
            </w:r>
            <w:r>
              <w:rPr>
                <w:rFonts w:ascii="Times New Roman" w:hAnsi="Times New Roman" w:eastAsia="宋体" w:cs="Times New Roman"/>
                <w:b/>
                <w:bCs/>
                <w:color w:val="000000"/>
                <w:sz w:val="18"/>
                <w:szCs w:val="18"/>
              </w:rPr>
              <w:t>麦克风阵列≥12个，拾音距离≥8米。</w:t>
            </w:r>
          </w:p>
          <w:p w14:paraId="71EBB495">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语音特点频域：不劣于20-20kHz。麦克风增强能力：回声消除，噪音抑制，自动增益控制，支持外麦克风。</w:t>
            </w:r>
          </w:p>
        </w:tc>
      </w:tr>
    </w:tbl>
    <w:p w14:paraId="23D19893">
      <w:pPr>
        <w:spacing w:line="560" w:lineRule="exact"/>
        <w:rPr>
          <w:rFonts w:ascii="Times New Roman" w:hAnsi="Times New Roman" w:eastAsia="宋体" w:cs="Times New Roman"/>
          <w:sz w:val="24"/>
          <w:szCs w:val="24"/>
        </w:rPr>
      </w:pPr>
    </w:p>
    <w:p w14:paraId="18833105">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（二）营区监控系统相关设备</w:t>
      </w:r>
    </w:p>
    <w:tbl>
      <w:tblPr>
        <w:tblStyle w:val="20"/>
        <w:tblW w:w="50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32"/>
        <w:gridCol w:w="2315"/>
        <w:gridCol w:w="666"/>
        <w:gridCol w:w="4930"/>
      </w:tblGrid>
      <w:tr w14:paraId="0BCD9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074B2040">
            <w:pPr>
              <w:autoSpaceDE w:val="0"/>
              <w:autoSpaceDN w:val="0"/>
              <w:spacing w:line="360" w:lineRule="auto"/>
              <w:jc w:val="center"/>
              <w:rPr>
                <w:rFonts w:ascii="Times New Roman" w:hAnsi="Times New Roman" w:eastAsia="宋体" w:cs="Times New Roman"/>
                <w:b/>
                <w:bCs/>
                <w:sz w:val="18"/>
                <w:szCs w:val="18"/>
                <w:lang w:eastAsia="en-US"/>
              </w:rPr>
            </w:pPr>
            <w:r>
              <w:rPr>
                <w:rFonts w:ascii="Times New Roman" w:hAnsi="Times New Roman" w:eastAsia="宋体" w:cs="Times New Roman"/>
                <w:b/>
                <w:bCs/>
                <w:sz w:val="18"/>
                <w:szCs w:val="18"/>
                <w:lang w:eastAsia="en-US"/>
              </w:rPr>
              <w:t>序号</w:t>
            </w:r>
          </w:p>
        </w:tc>
        <w:tc>
          <w:tcPr>
            <w:tcW w:w="1387" w:type="pct"/>
            <w:vAlign w:val="center"/>
          </w:tcPr>
          <w:p w14:paraId="361FDB2C">
            <w:pPr>
              <w:autoSpaceDE w:val="0"/>
              <w:autoSpaceDN w:val="0"/>
              <w:spacing w:line="360" w:lineRule="auto"/>
              <w:jc w:val="center"/>
              <w:rPr>
                <w:rFonts w:ascii="Times New Roman" w:hAnsi="Times New Roman" w:eastAsia="宋体" w:cs="Times New Roman"/>
                <w:b/>
                <w:bCs/>
                <w:sz w:val="18"/>
                <w:szCs w:val="18"/>
                <w:lang w:eastAsia="en-US"/>
              </w:rPr>
            </w:pPr>
            <w:r>
              <w:rPr>
                <w:rFonts w:ascii="Times New Roman" w:hAnsi="Times New Roman" w:eastAsia="宋体" w:cs="Times New Roman"/>
                <w:b/>
                <w:bCs/>
                <w:sz w:val="18"/>
                <w:szCs w:val="18"/>
                <w:lang w:eastAsia="en-US"/>
              </w:rPr>
              <w:t>货物名称及规格</w:t>
            </w:r>
          </w:p>
        </w:tc>
        <w:tc>
          <w:tcPr>
            <w:tcW w:w="399" w:type="pct"/>
            <w:vAlign w:val="center"/>
          </w:tcPr>
          <w:p w14:paraId="370FCF4B">
            <w:pPr>
              <w:autoSpaceDE w:val="0"/>
              <w:autoSpaceDN w:val="0"/>
              <w:spacing w:line="360" w:lineRule="auto"/>
              <w:jc w:val="center"/>
              <w:rPr>
                <w:rFonts w:ascii="Times New Roman" w:hAnsi="Times New Roman" w:eastAsia="宋体" w:cs="Times New Roman"/>
                <w:b/>
                <w:bCs/>
                <w:sz w:val="18"/>
                <w:szCs w:val="18"/>
                <w:lang w:eastAsia="en-US"/>
              </w:rPr>
            </w:pPr>
            <w:r>
              <w:rPr>
                <w:rFonts w:ascii="Times New Roman" w:hAnsi="Times New Roman" w:eastAsia="宋体" w:cs="Times New Roman"/>
                <w:b/>
                <w:bCs/>
                <w:sz w:val="18"/>
                <w:szCs w:val="18"/>
                <w:lang w:eastAsia="en-US"/>
              </w:rPr>
              <w:t>数量</w:t>
            </w:r>
          </w:p>
        </w:tc>
        <w:tc>
          <w:tcPr>
            <w:tcW w:w="2953" w:type="pct"/>
            <w:vAlign w:val="center"/>
          </w:tcPr>
          <w:p w14:paraId="66CE5570">
            <w:pPr>
              <w:autoSpaceDE w:val="0"/>
              <w:autoSpaceDN w:val="0"/>
              <w:spacing w:line="360" w:lineRule="auto"/>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设备参数</w:t>
            </w:r>
          </w:p>
        </w:tc>
      </w:tr>
      <w:tr w14:paraId="50AC5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056BFA42">
            <w:pPr>
              <w:autoSpaceDE w:val="0"/>
              <w:autoSpaceDN w:val="0"/>
              <w:snapToGrid w:val="0"/>
              <w:spacing w:before="20" w:after="20"/>
              <w:jc w:val="center"/>
              <w:rPr>
                <w:rFonts w:ascii="Times New Roman" w:hAnsi="Times New Roman" w:eastAsia="宋体" w:cs="Times New Roman"/>
                <w:sz w:val="20"/>
                <w:szCs w:val="20"/>
                <w:lang w:eastAsia="en-US"/>
              </w:rPr>
            </w:pPr>
            <w:r>
              <w:rPr>
                <w:rFonts w:ascii="Times New Roman" w:hAnsi="Times New Roman" w:eastAsia="宋体" w:cs="Times New Roman"/>
                <w:sz w:val="20"/>
                <w:szCs w:val="20"/>
                <w:lang w:eastAsia="en-US"/>
              </w:rPr>
              <w:t>1</w:t>
            </w:r>
          </w:p>
        </w:tc>
        <w:tc>
          <w:tcPr>
            <w:tcW w:w="1387" w:type="pct"/>
            <w:vAlign w:val="center"/>
          </w:tcPr>
          <w:p w14:paraId="301CE941">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18"/>
                <w:szCs w:val="18"/>
              </w:rPr>
              <w:t>200万离岗检测双光变焦防暴半球网络摄像机</w:t>
            </w:r>
          </w:p>
        </w:tc>
        <w:tc>
          <w:tcPr>
            <w:tcW w:w="399" w:type="pct"/>
            <w:vAlign w:val="center"/>
          </w:tcPr>
          <w:p w14:paraId="3011437E">
            <w:pPr>
              <w:widowControl/>
              <w:snapToGrid w:val="0"/>
              <w:spacing w:before="20" w:after="20"/>
              <w:jc w:val="center"/>
              <w:rPr>
                <w:rFonts w:ascii="Times New Roman" w:hAnsi="Times New Roman" w:eastAsia="宋体" w:cs="Times New Roman"/>
                <w:color w:val="000000"/>
                <w:sz w:val="20"/>
                <w:szCs w:val="20"/>
              </w:rPr>
            </w:pPr>
            <w:r>
              <w:rPr>
                <w:rFonts w:ascii="Times New Roman" w:hAnsi="Times New Roman" w:eastAsia="宋体" w:cs="Times New Roman"/>
                <w:sz w:val="18"/>
                <w:szCs w:val="18"/>
                <w:lang w:eastAsia="en-US"/>
              </w:rPr>
              <w:t>3</w:t>
            </w:r>
          </w:p>
        </w:tc>
        <w:tc>
          <w:tcPr>
            <w:tcW w:w="2953" w:type="pct"/>
            <w:vAlign w:val="center"/>
          </w:tcPr>
          <w:p w14:paraId="15F993E7">
            <w:pPr>
              <w:widowControl/>
              <w:adjustRightInd w:val="0"/>
              <w:snapToGrid w:val="0"/>
              <w:spacing w:before="20" w:after="20"/>
              <w:ind w:left="20"/>
              <w:jc w:val="left"/>
              <w:rPr>
                <w:rFonts w:ascii="Times New Roman" w:hAnsi="Times New Roman" w:eastAsia="宋体" w:cs="Times New Roman"/>
                <w:b/>
                <w:bCs/>
                <w:sz w:val="18"/>
                <w:szCs w:val="18"/>
                <w:lang w:eastAsia="en-US"/>
              </w:rPr>
            </w:pPr>
            <w:r>
              <w:rPr>
                <w:rFonts w:hint="eastAsia" w:ascii="Times New Roman" w:hAnsi="Times New Roman" w:eastAsia="宋体" w:cs="Times New Roman"/>
                <w:b/>
                <w:bCs/>
                <w:sz w:val="18"/>
                <w:szCs w:val="18"/>
              </w:rPr>
              <w:t>▲垂直</w:t>
            </w:r>
            <w:r>
              <w:rPr>
                <w:rFonts w:ascii="Times New Roman" w:hAnsi="Times New Roman" w:eastAsia="宋体" w:cs="Times New Roman"/>
                <w:b/>
                <w:bCs/>
                <w:sz w:val="18"/>
                <w:szCs w:val="18"/>
              </w:rPr>
              <w:t>像</w:t>
            </w:r>
            <w:r>
              <w:rPr>
                <w:rFonts w:ascii="Times New Roman" w:hAnsi="Times New Roman" w:eastAsia="宋体" w:cs="Times New Roman"/>
                <w:b/>
                <w:bCs/>
                <w:sz w:val="18"/>
                <w:szCs w:val="18"/>
                <w:lang w:eastAsia="en-US"/>
              </w:rPr>
              <w:t>素：</w:t>
            </w:r>
            <w:r>
              <w:rPr>
                <w:rFonts w:ascii="Times New Roman" w:hAnsi="Times New Roman" w:eastAsia="宋体" w:cs="Times New Roman"/>
                <w:b/>
                <w:bCs/>
                <w:color w:val="000000"/>
                <w:sz w:val="18"/>
                <w:szCs w:val="18"/>
              </w:rPr>
              <w:t>≥</w:t>
            </w:r>
            <w:r>
              <w:rPr>
                <w:rFonts w:ascii="Times New Roman" w:hAnsi="Times New Roman" w:eastAsia="宋体" w:cs="Times New Roman"/>
                <w:b/>
                <w:bCs/>
                <w:sz w:val="18"/>
                <w:szCs w:val="18"/>
                <w:lang w:eastAsia="en-US"/>
              </w:rPr>
              <w:t>200万；</w:t>
            </w:r>
          </w:p>
          <w:p w14:paraId="2297287B">
            <w:pPr>
              <w:widowControl/>
              <w:adjustRightInd w:val="0"/>
              <w:snapToGrid w:val="0"/>
              <w:spacing w:before="20" w:after="20"/>
              <w:ind w:left="20"/>
              <w:jc w:val="left"/>
              <w:rPr>
                <w:rFonts w:ascii="Times New Roman" w:hAnsi="Times New Roman" w:eastAsia="宋体" w:cs="Times New Roman"/>
                <w:b/>
                <w:bCs/>
                <w:sz w:val="18"/>
                <w:szCs w:val="18"/>
                <w:lang w:eastAsia="en-US"/>
              </w:rPr>
            </w:pPr>
            <w:r>
              <w:rPr>
                <w:rFonts w:hint="eastAsia" w:ascii="Times New Roman" w:hAnsi="Times New Roman" w:eastAsia="宋体" w:cs="Times New Roman"/>
                <w:b/>
                <w:bCs/>
                <w:sz w:val="18"/>
                <w:szCs w:val="18"/>
              </w:rPr>
              <w:t>＃</w:t>
            </w:r>
            <w:r>
              <w:rPr>
                <w:rFonts w:ascii="Times New Roman" w:hAnsi="Times New Roman" w:eastAsia="宋体" w:cs="Times New Roman"/>
                <w:b/>
                <w:bCs/>
                <w:sz w:val="18"/>
                <w:szCs w:val="18"/>
                <w:lang w:eastAsia="en-US"/>
              </w:rPr>
              <w:t>最大分辨率：</w:t>
            </w:r>
            <w:r>
              <w:rPr>
                <w:rFonts w:ascii="Times New Roman" w:hAnsi="Times New Roman" w:eastAsia="宋体" w:cs="Times New Roman"/>
                <w:b/>
                <w:bCs/>
                <w:color w:val="000000"/>
                <w:sz w:val="18"/>
                <w:szCs w:val="18"/>
              </w:rPr>
              <w:t>≥</w:t>
            </w:r>
            <w:r>
              <w:rPr>
                <w:rFonts w:ascii="Times New Roman" w:hAnsi="Times New Roman" w:eastAsia="宋体" w:cs="Times New Roman"/>
                <w:b/>
                <w:bCs/>
                <w:sz w:val="18"/>
                <w:szCs w:val="18"/>
                <w:lang w:eastAsia="en-US"/>
              </w:rPr>
              <w:t>2688×1520；</w:t>
            </w:r>
          </w:p>
          <w:p w14:paraId="6131424D">
            <w:pPr>
              <w:widowControl/>
              <w:adjustRightInd w:val="0"/>
              <w:snapToGrid w:val="0"/>
              <w:spacing w:before="20" w:after="20"/>
              <w:ind w:left="20"/>
              <w:jc w:val="left"/>
              <w:rPr>
                <w:rFonts w:ascii="Times New Roman" w:hAnsi="Times New Roman" w:eastAsia="宋体" w:cs="Times New Roman"/>
                <w:sz w:val="18"/>
                <w:szCs w:val="18"/>
              </w:rPr>
            </w:pPr>
            <w:r>
              <w:rPr>
                <w:rFonts w:ascii="Times New Roman" w:hAnsi="Times New Roman" w:eastAsia="宋体" w:cs="Times New Roman"/>
                <w:sz w:val="18"/>
                <w:szCs w:val="18"/>
              </w:rPr>
              <w:t>最低照度：≤0.002Lux（彩色模式）；≤0.0002Lux（黑白模式）；0Lux（补光灯开启）；</w:t>
            </w:r>
          </w:p>
          <w:p w14:paraId="79FB37BD">
            <w:pPr>
              <w:widowControl/>
              <w:adjustRightInd w:val="0"/>
              <w:snapToGrid w:val="0"/>
              <w:spacing w:before="20" w:after="20"/>
              <w:ind w:left="20"/>
              <w:jc w:val="left"/>
              <w:rPr>
                <w:rFonts w:ascii="Times New Roman" w:hAnsi="Times New Roman" w:eastAsia="宋体" w:cs="Times New Roman"/>
                <w:sz w:val="18"/>
                <w:szCs w:val="18"/>
              </w:rPr>
            </w:pPr>
            <w:r>
              <w:rPr>
                <w:rFonts w:ascii="Times New Roman" w:hAnsi="Times New Roman" w:eastAsia="宋体" w:cs="Times New Roman"/>
                <w:sz w:val="18"/>
                <w:szCs w:val="18"/>
              </w:rPr>
              <w:t>最大补光距离：</w:t>
            </w:r>
            <w:r>
              <w:rPr>
                <w:rFonts w:ascii="Times New Roman" w:hAnsi="Times New Roman" w:eastAsia="宋体" w:cs="Times New Roman"/>
                <w:color w:val="000000"/>
                <w:sz w:val="18"/>
                <w:szCs w:val="18"/>
              </w:rPr>
              <w:t>≥</w:t>
            </w:r>
            <w:r>
              <w:rPr>
                <w:rFonts w:ascii="Times New Roman" w:hAnsi="Times New Roman" w:eastAsia="宋体" w:cs="Times New Roman"/>
                <w:sz w:val="18"/>
                <w:szCs w:val="18"/>
              </w:rPr>
              <w:t>50m（红外视频监控距离）;</w:t>
            </w:r>
            <w:r>
              <w:rPr>
                <w:rFonts w:ascii="Times New Roman" w:hAnsi="Times New Roman" w:eastAsia="宋体" w:cs="Times New Roman"/>
                <w:color w:val="000000"/>
                <w:sz w:val="18"/>
                <w:szCs w:val="18"/>
              </w:rPr>
              <w:t xml:space="preserve"> ≥</w:t>
            </w:r>
            <w:r>
              <w:rPr>
                <w:rFonts w:ascii="Times New Roman" w:hAnsi="Times New Roman" w:eastAsia="宋体" w:cs="Times New Roman"/>
                <w:sz w:val="18"/>
                <w:szCs w:val="18"/>
              </w:rPr>
              <w:t xml:space="preserve"> 20m（暖光视频监控距离）;</w:t>
            </w:r>
            <w:r>
              <w:rPr>
                <w:rFonts w:ascii="Times New Roman" w:hAnsi="Times New Roman" w:eastAsia="宋体" w:cs="Times New Roman"/>
                <w:color w:val="000000"/>
                <w:sz w:val="18"/>
                <w:szCs w:val="18"/>
              </w:rPr>
              <w:t xml:space="preserve"> ≥</w:t>
            </w:r>
            <w:r>
              <w:rPr>
                <w:rFonts w:ascii="Times New Roman" w:hAnsi="Times New Roman" w:eastAsia="宋体" w:cs="Times New Roman"/>
                <w:sz w:val="18"/>
                <w:szCs w:val="18"/>
              </w:rPr>
              <w:t>8m（暖光人脸检测距离）；</w:t>
            </w:r>
          </w:p>
          <w:p w14:paraId="0AC8B720">
            <w:pPr>
              <w:widowControl/>
              <w:adjustRightInd w:val="0"/>
              <w:snapToGrid w:val="0"/>
              <w:spacing w:before="20" w:after="20"/>
              <w:ind w:left="20"/>
              <w:jc w:val="left"/>
              <w:rPr>
                <w:rFonts w:ascii="Times New Roman" w:hAnsi="Times New Roman" w:eastAsia="宋体" w:cs="Times New Roman"/>
                <w:sz w:val="18"/>
                <w:szCs w:val="18"/>
              </w:rPr>
            </w:pPr>
            <w:r>
              <w:rPr>
                <w:rFonts w:ascii="Times New Roman" w:hAnsi="Times New Roman" w:eastAsia="宋体" w:cs="Times New Roman"/>
                <w:sz w:val="18"/>
                <w:szCs w:val="18"/>
              </w:rPr>
              <w:t>镜头类型：电动变焦；</w:t>
            </w:r>
          </w:p>
          <w:p w14:paraId="1FCAB930">
            <w:pPr>
              <w:widowControl/>
              <w:adjustRightInd w:val="0"/>
              <w:snapToGrid w:val="0"/>
              <w:spacing w:before="20" w:after="20"/>
              <w:ind w:left="20"/>
              <w:jc w:val="left"/>
              <w:rPr>
                <w:rFonts w:ascii="Times New Roman" w:hAnsi="Times New Roman" w:eastAsia="宋体" w:cs="Times New Roman"/>
                <w:sz w:val="18"/>
                <w:szCs w:val="18"/>
              </w:rPr>
            </w:pPr>
            <w:r>
              <w:rPr>
                <w:rFonts w:ascii="Times New Roman" w:hAnsi="Times New Roman" w:eastAsia="宋体" w:cs="Times New Roman"/>
                <w:sz w:val="18"/>
                <w:szCs w:val="18"/>
              </w:rPr>
              <w:t>镜头焦距：不劣于2.7-13.5mm。</w:t>
            </w:r>
          </w:p>
        </w:tc>
      </w:tr>
      <w:tr w14:paraId="275D6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6B49BA3C">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2</w:t>
            </w:r>
          </w:p>
        </w:tc>
        <w:tc>
          <w:tcPr>
            <w:tcW w:w="1387" w:type="pct"/>
            <w:vAlign w:val="center"/>
          </w:tcPr>
          <w:p w14:paraId="07A0DA43">
            <w:pPr>
              <w:autoSpaceDE w:val="0"/>
              <w:autoSpaceDN w:val="0"/>
              <w:snapToGrid w:val="0"/>
              <w:spacing w:before="20" w:after="20"/>
              <w:jc w:val="center"/>
              <w:rPr>
                <w:rFonts w:ascii="Times New Roman" w:hAnsi="Times New Roman" w:eastAsia="宋体" w:cs="Times New Roman"/>
                <w:sz w:val="20"/>
                <w:szCs w:val="20"/>
                <w:lang w:eastAsia="en-US"/>
              </w:rPr>
            </w:pPr>
            <w:r>
              <w:rPr>
                <w:rFonts w:ascii="Times New Roman" w:hAnsi="Times New Roman" w:eastAsia="宋体" w:cs="Times New Roman"/>
                <w:sz w:val="18"/>
                <w:szCs w:val="18"/>
                <w:lang w:eastAsia="en-US"/>
              </w:rPr>
              <w:t>人脸半球网络摄像机</w:t>
            </w:r>
          </w:p>
        </w:tc>
        <w:tc>
          <w:tcPr>
            <w:tcW w:w="399" w:type="pct"/>
            <w:vAlign w:val="center"/>
          </w:tcPr>
          <w:p w14:paraId="176A4FF0">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2</w:t>
            </w:r>
          </w:p>
        </w:tc>
        <w:tc>
          <w:tcPr>
            <w:tcW w:w="2953" w:type="pct"/>
            <w:vAlign w:val="center"/>
          </w:tcPr>
          <w:p w14:paraId="52F43F61">
            <w:pPr>
              <w:autoSpaceDE w:val="0"/>
              <w:autoSpaceDN w:val="0"/>
              <w:adjustRightInd w:val="0"/>
              <w:snapToGrid w:val="0"/>
              <w:spacing w:before="20" w:after="20"/>
              <w:ind w:left="20"/>
              <w:jc w:val="left"/>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w:t>
            </w:r>
            <w:r>
              <w:rPr>
                <w:rFonts w:ascii="Times New Roman" w:hAnsi="Times New Roman" w:eastAsia="宋体" w:cs="Times New Roman"/>
                <w:b/>
                <w:bCs/>
                <w:sz w:val="18"/>
                <w:szCs w:val="18"/>
              </w:rPr>
              <w:t>传感器类型</w:t>
            </w:r>
            <w:r>
              <w:rPr>
                <w:rFonts w:ascii="Times New Roman" w:hAnsi="Times New Roman" w:eastAsia="宋体" w:cs="Times New Roman"/>
                <w:b/>
                <w:bCs/>
                <w:color w:val="000000"/>
                <w:sz w:val="18"/>
                <w:szCs w:val="18"/>
              </w:rPr>
              <w:t>≥</w:t>
            </w:r>
            <w:r>
              <w:rPr>
                <w:rFonts w:ascii="Times New Roman" w:hAnsi="Times New Roman" w:eastAsia="宋体" w:cs="Times New Roman"/>
                <w:b/>
                <w:bCs/>
                <w:sz w:val="18"/>
                <w:szCs w:val="18"/>
              </w:rPr>
              <w:t>1/2.8英寸CMOS；</w:t>
            </w:r>
          </w:p>
          <w:p w14:paraId="1FA288F5">
            <w:pPr>
              <w:autoSpaceDE w:val="0"/>
              <w:autoSpaceDN w:val="0"/>
              <w:adjustRightInd w:val="0"/>
              <w:snapToGrid w:val="0"/>
              <w:spacing w:before="20" w:after="20"/>
              <w:ind w:left="20"/>
              <w:jc w:val="left"/>
              <w:rPr>
                <w:rFonts w:ascii="Times New Roman" w:hAnsi="Times New Roman" w:eastAsia="宋体" w:cs="Times New Roman"/>
                <w:b/>
                <w:bCs/>
                <w:sz w:val="18"/>
                <w:szCs w:val="18"/>
                <w:lang w:eastAsia="en-US"/>
              </w:rPr>
            </w:pPr>
            <w:r>
              <w:rPr>
                <w:rFonts w:hint="eastAsia" w:ascii="Times New Roman" w:hAnsi="Times New Roman" w:eastAsia="宋体" w:cs="Times New Roman"/>
                <w:b/>
                <w:bCs/>
                <w:sz w:val="18"/>
                <w:szCs w:val="18"/>
                <w:lang w:eastAsia="en-US"/>
              </w:rPr>
              <w:t>▲</w:t>
            </w:r>
            <w:r>
              <w:rPr>
                <w:rFonts w:hint="eastAsia" w:ascii="Times New Roman" w:hAnsi="Times New Roman" w:eastAsia="宋体" w:cs="Times New Roman"/>
                <w:b/>
                <w:bCs/>
                <w:sz w:val="18"/>
                <w:szCs w:val="18"/>
              </w:rPr>
              <w:t>垂直</w:t>
            </w:r>
            <w:r>
              <w:rPr>
                <w:rFonts w:ascii="Times New Roman" w:hAnsi="Times New Roman" w:eastAsia="宋体" w:cs="Times New Roman"/>
                <w:b/>
                <w:bCs/>
                <w:sz w:val="18"/>
                <w:szCs w:val="18"/>
                <w:lang w:eastAsia="en-US"/>
              </w:rPr>
              <w:t>像</w:t>
            </w:r>
            <w:r>
              <w:rPr>
                <w:rFonts w:ascii="Times New Roman" w:hAnsi="Times New Roman" w:eastAsia="宋体" w:cs="Times New Roman"/>
                <w:b/>
                <w:bCs/>
                <w:sz w:val="18"/>
                <w:szCs w:val="18"/>
              </w:rPr>
              <w:t>素</w:t>
            </w:r>
            <w:r>
              <w:rPr>
                <w:rFonts w:ascii="Times New Roman" w:hAnsi="Times New Roman" w:eastAsia="宋体" w:cs="Times New Roman"/>
                <w:b/>
                <w:bCs/>
                <w:color w:val="000000"/>
                <w:sz w:val="18"/>
                <w:szCs w:val="18"/>
              </w:rPr>
              <w:t>≥</w:t>
            </w:r>
            <w:r>
              <w:rPr>
                <w:rFonts w:ascii="Times New Roman" w:hAnsi="Times New Roman" w:eastAsia="宋体" w:cs="Times New Roman"/>
                <w:b/>
                <w:bCs/>
                <w:sz w:val="18"/>
                <w:szCs w:val="18"/>
                <w:lang w:eastAsia="en-US"/>
              </w:rPr>
              <w:t>200万；</w:t>
            </w:r>
          </w:p>
          <w:p w14:paraId="15784C90">
            <w:pPr>
              <w:autoSpaceDE w:val="0"/>
              <w:autoSpaceDN w:val="0"/>
              <w:adjustRightInd w:val="0"/>
              <w:snapToGrid w:val="0"/>
              <w:spacing w:before="20" w:after="20"/>
              <w:ind w:left="20"/>
              <w:jc w:val="left"/>
              <w:rPr>
                <w:rFonts w:ascii="Times New Roman" w:hAnsi="Times New Roman" w:eastAsia="宋体" w:cs="Times New Roman"/>
                <w:b/>
                <w:bCs/>
                <w:sz w:val="18"/>
                <w:szCs w:val="18"/>
                <w:lang w:eastAsia="en-US"/>
              </w:rPr>
            </w:pPr>
            <w:r>
              <w:rPr>
                <w:rFonts w:hint="eastAsia" w:ascii="Times New Roman" w:hAnsi="Times New Roman" w:eastAsia="宋体" w:cs="Times New Roman"/>
                <w:b/>
                <w:bCs/>
                <w:sz w:val="18"/>
                <w:szCs w:val="18"/>
              </w:rPr>
              <w:t>＃</w:t>
            </w:r>
            <w:r>
              <w:rPr>
                <w:rFonts w:ascii="Times New Roman" w:hAnsi="Times New Roman" w:eastAsia="宋体" w:cs="Times New Roman"/>
                <w:b/>
                <w:bCs/>
                <w:sz w:val="18"/>
                <w:szCs w:val="18"/>
                <w:lang w:eastAsia="en-US"/>
              </w:rPr>
              <w:t>最大分辨率</w:t>
            </w:r>
            <w:r>
              <w:rPr>
                <w:rFonts w:ascii="Times New Roman" w:hAnsi="Times New Roman" w:eastAsia="宋体" w:cs="Times New Roman"/>
                <w:b/>
                <w:bCs/>
                <w:color w:val="000000"/>
                <w:sz w:val="18"/>
                <w:szCs w:val="18"/>
              </w:rPr>
              <w:t>≥</w:t>
            </w:r>
            <w:r>
              <w:rPr>
                <w:rFonts w:ascii="Times New Roman" w:hAnsi="Times New Roman" w:eastAsia="宋体" w:cs="Times New Roman"/>
                <w:b/>
                <w:bCs/>
                <w:sz w:val="18"/>
                <w:szCs w:val="18"/>
                <w:lang w:eastAsia="en-US"/>
              </w:rPr>
              <w:t>1920×1080；</w:t>
            </w:r>
          </w:p>
          <w:p w14:paraId="1B09D47B">
            <w:pPr>
              <w:autoSpaceDE w:val="0"/>
              <w:autoSpaceDN w:val="0"/>
              <w:adjustRightInd w:val="0"/>
              <w:snapToGrid w:val="0"/>
              <w:spacing w:before="20" w:after="20"/>
              <w:ind w:left="20"/>
              <w:jc w:val="left"/>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最低照度</w:t>
            </w:r>
            <w:r>
              <w:rPr>
                <w:rFonts w:ascii="Times New Roman" w:hAnsi="Times New Roman" w:eastAsia="宋体" w:cs="Times New Roman"/>
                <w:sz w:val="18"/>
                <w:szCs w:val="18"/>
              </w:rPr>
              <w:t>≤</w:t>
            </w:r>
            <w:r>
              <w:rPr>
                <w:rFonts w:ascii="Times New Roman" w:hAnsi="Times New Roman" w:eastAsia="宋体" w:cs="Times New Roman"/>
                <w:sz w:val="18"/>
                <w:szCs w:val="18"/>
                <w:lang w:eastAsia="en-US"/>
              </w:rPr>
              <w:t>0.001Lux（彩色模式）；</w:t>
            </w:r>
            <w:r>
              <w:rPr>
                <w:rFonts w:ascii="Times New Roman" w:hAnsi="Times New Roman" w:eastAsia="宋体" w:cs="Times New Roman"/>
                <w:sz w:val="18"/>
                <w:szCs w:val="18"/>
              </w:rPr>
              <w:t>≤</w:t>
            </w:r>
            <w:r>
              <w:rPr>
                <w:rFonts w:ascii="Times New Roman" w:hAnsi="Times New Roman" w:eastAsia="宋体" w:cs="Times New Roman"/>
                <w:sz w:val="18"/>
                <w:szCs w:val="18"/>
                <w:lang w:eastAsia="en-US"/>
              </w:rPr>
              <w:t>0.0001Lux（黑白模式）；</w:t>
            </w:r>
          </w:p>
          <w:p w14:paraId="16C6C7E8">
            <w:pPr>
              <w:autoSpaceDE w:val="0"/>
              <w:autoSpaceDN w:val="0"/>
              <w:adjustRightInd w:val="0"/>
              <w:snapToGrid w:val="0"/>
              <w:spacing w:before="20" w:after="20"/>
              <w:ind w:left="20"/>
              <w:jc w:val="left"/>
              <w:rPr>
                <w:rFonts w:ascii="Times New Roman" w:hAnsi="Times New Roman" w:eastAsia="宋体" w:cs="Times New Roman"/>
                <w:sz w:val="18"/>
                <w:szCs w:val="18"/>
              </w:rPr>
            </w:pPr>
            <w:r>
              <w:rPr>
                <w:rFonts w:ascii="Times New Roman" w:hAnsi="Times New Roman" w:eastAsia="宋体" w:cs="Times New Roman"/>
                <w:sz w:val="18"/>
                <w:szCs w:val="18"/>
              </w:rPr>
              <w:t>最大补光距离</w:t>
            </w:r>
            <w:r>
              <w:rPr>
                <w:rFonts w:ascii="Times New Roman" w:hAnsi="Times New Roman" w:eastAsia="宋体" w:cs="Times New Roman"/>
                <w:color w:val="000000"/>
                <w:sz w:val="18"/>
                <w:szCs w:val="18"/>
              </w:rPr>
              <w:t>≥</w:t>
            </w:r>
            <w:r>
              <w:rPr>
                <w:rFonts w:ascii="Times New Roman" w:hAnsi="Times New Roman" w:eastAsia="宋体" w:cs="Times New Roman"/>
                <w:sz w:val="18"/>
                <w:szCs w:val="18"/>
              </w:rPr>
              <w:t>50m（红外）；</w:t>
            </w:r>
          </w:p>
          <w:p w14:paraId="2F8D46D5">
            <w:pPr>
              <w:autoSpaceDE w:val="0"/>
              <w:autoSpaceDN w:val="0"/>
              <w:adjustRightInd w:val="0"/>
              <w:snapToGrid w:val="0"/>
              <w:spacing w:before="20" w:after="20"/>
              <w:ind w:left="20"/>
              <w:jc w:val="left"/>
              <w:rPr>
                <w:rFonts w:ascii="Times New Roman" w:hAnsi="Times New Roman" w:eastAsia="宋体" w:cs="Times New Roman"/>
                <w:sz w:val="18"/>
                <w:szCs w:val="18"/>
              </w:rPr>
            </w:pPr>
            <w:r>
              <w:rPr>
                <w:rFonts w:ascii="Times New Roman" w:hAnsi="Times New Roman" w:eastAsia="宋体" w:cs="Times New Roman"/>
                <w:sz w:val="18"/>
                <w:szCs w:val="18"/>
              </w:rPr>
              <w:t>镜头类型电动变焦；</w:t>
            </w:r>
          </w:p>
          <w:p w14:paraId="230570A8">
            <w:pPr>
              <w:autoSpaceDE w:val="0"/>
              <w:autoSpaceDN w:val="0"/>
              <w:adjustRightInd w:val="0"/>
              <w:snapToGrid w:val="0"/>
              <w:spacing w:before="20" w:after="20"/>
              <w:ind w:left="20"/>
              <w:jc w:val="left"/>
              <w:rPr>
                <w:rFonts w:ascii="Times New Roman" w:hAnsi="Times New Roman" w:eastAsia="宋体" w:cs="Times New Roman"/>
                <w:sz w:val="18"/>
                <w:szCs w:val="18"/>
              </w:rPr>
            </w:pPr>
            <w:r>
              <w:rPr>
                <w:rFonts w:ascii="Times New Roman" w:hAnsi="Times New Roman" w:eastAsia="宋体" w:cs="Times New Roman"/>
                <w:sz w:val="18"/>
                <w:szCs w:val="18"/>
              </w:rPr>
              <w:t>镜头焦距不劣于2.7mm~13.5mm；</w:t>
            </w:r>
          </w:p>
          <w:p w14:paraId="5533C4C5">
            <w:pPr>
              <w:autoSpaceDE w:val="0"/>
              <w:autoSpaceDN w:val="0"/>
              <w:adjustRightInd w:val="0"/>
              <w:snapToGrid w:val="0"/>
              <w:spacing w:before="20" w:after="20"/>
              <w:ind w:left="20"/>
              <w:jc w:val="left"/>
              <w:rPr>
                <w:rFonts w:ascii="Times New Roman" w:hAnsi="Times New Roman" w:eastAsia="宋体" w:cs="Times New Roman"/>
                <w:sz w:val="18"/>
                <w:szCs w:val="18"/>
              </w:rPr>
            </w:pPr>
            <w:r>
              <w:rPr>
                <w:rFonts w:ascii="Times New Roman" w:hAnsi="Times New Roman" w:eastAsia="宋体" w:cs="Times New Roman"/>
                <w:sz w:val="18"/>
                <w:szCs w:val="18"/>
              </w:rPr>
              <w:t>支持人脸检测；支持跟踪；支持优选；支持抓拍；支持上报最优的人脸抓图。</w:t>
            </w:r>
          </w:p>
        </w:tc>
      </w:tr>
      <w:tr w14:paraId="6D902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60CA8324">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3</w:t>
            </w:r>
          </w:p>
        </w:tc>
        <w:tc>
          <w:tcPr>
            <w:tcW w:w="1387" w:type="pct"/>
            <w:vAlign w:val="center"/>
          </w:tcPr>
          <w:p w14:paraId="18587D43">
            <w:pPr>
              <w:autoSpaceDE w:val="0"/>
              <w:autoSpaceDN w:val="0"/>
              <w:snapToGrid w:val="0"/>
              <w:spacing w:before="20" w:after="20"/>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半球网络摄像机</w:t>
            </w:r>
          </w:p>
        </w:tc>
        <w:tc>
          <w:tcPr>
            <w:tcW w:w="399" w:type="pct"/>
            <w:vAlign w:val="center"/>
          </w:tcPr>
          <w:p w14:paraId="4660150A">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53" w:type="pct"/>
            <w:vAlign w:val="center"/>
          </w:tcPr>
          <w:p w14:paraId="2C614D36">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rPr>
            </w:pPr>
            <w:r>
              <w:rPr>
                <w:rFonts w:hint="eastAsia" w:ascii="Times New Roman" w:hAnsi="Times New Roman" w:eastAsia="宋体" w:cs="Times New Roman"/>
                <w:b/>
                <w:bCs/>
                <w:sz w:val="18"/>
                <w:szCs w:val="18"/>
              </w:rPr>
              <w:t>＃</w:t>
            </w:r>
            <w:r>
              <w:rPr>
                <w:rFonts w:ascii="Times New Roman" w:hAnsi="Times New Roman" w:eastAsia="宋体" w:cs="Times New Roman"/>
                <w:b/>
                <w:bCs/>
                <w:color w:val="000000"/>
                <w:sz w:val="18"/>
                <w:szCs w:val="18"/>
              </w:rPr>
              <w:t>传感器类型≥1/2.7英寸CMOS；</w:t>
            </w:r>
          </w:p>
          <w:p w14:paraId="36EDE053">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lang w:eastAsia="en-US"/>
              </w:rPr>
            </w:pPr>
            <w:r>
              <w:rPr>
                <w:rFonts w:hint="eastAsia" w:ascii="Times New Roman" w:hAnsi="Times New Roman" w:eastAsia="宋体" w:cs="Times New Roman"/>
                <w:b/>
                <w:bCs/>
                <w:color w:val="000000"/>
                <w:sz w:val="18"/>
                <w:szCs w:val="18"/>
                <w:lang w:eastAsia="en-US"/>
              </w:rPr>
              <w:t>▲</w:t>
            </w:r>
            <w:r>
              <w:rPr>
                <w:rFonts w:hint="eastAsia" w:ascii="Times New Roman" w:hAnsi="Times New Roman" w:eastAsia="宋体" w:cs="Times New Roman"/>
                <w:b/>
                <w:bCs/>
                <w:sz w:val="18"/>
                <w:szCs w:val="18"/>
              </w:rPr>
              <w:t>垂直</w:t>
            </w:r>
            <w:r>
              <w:rPr>
                <w:rFonts w:ascii="Times New Roman" w:hAnsi="Times New Roman" w:eastAsia="宋体" w:cs="Times New Roman"/>
                <w:b/>
                <w:bCs/>
                <w:color w:val="000000"/>
                <w:sz w:val="18"/>
                <w:szCs w:val="18"/>
                <w:lang w:eastAsia="en-US"/>
              </w:rPr>
              <w:t>像素</w:t>
            </w:r>
            <w:r>
              <w:rPr>
                <w:rFonts w:ascii="Times New Roman" w:hAnsi="Times New Roman" w:eastAsia="宋体" w:cs="Times New Roman"/>
                <w:b/>
                <w:bCs/>
                <w:color w:val="000000"/>
                <w:sz w:val="18"/>
                <w:szCs w:val="18"/>
              </w:rPr>
              <w:t>：≥</w:t>
            </w:r>
            <w:r>
              <w:rPr>
                <w:rFonts w:ascii="Times New Roman" w:hAnsi="Times New Roman" w:eastAsia="宋体" w:cs="Times New Roman"/>
                <w:b/>
                <w:bCs/>
                <w:color w:val="000000"/>
                <w:sz w:val="18"/>
                <w:szCs w:val="18"/>
                <w:lang w:eastAsia="en-US"/>
              </w:rPr>
              <w:t>200万；</w:t>
            </w:r>
          </w:p>
          <w:p w14:paraId="4B2BD806">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lang w:eastAsia="en-US"/>
              </w:rPr>
            </w:pPr>
            <w:r>
              <w:rPr>
                <w:rFonts w:hint="eastAsia" w:ascii="Times New Roman" w:hAnsi="Times New Roman" w:eastAsia="宋体" w:cs="Times New Roman"/>
                <w:b/>
                <w:bCs/>
                <w:sz w:val="18"/>
                <w:szCs w:val="18"/>
              </w:rPr>
              <w:t>＃</w:t>
            </w:r>
            <w:r>
              <w:rPr>
                <w:rFonts w:ascii="Times New Roman" w:hAnsi="Times New Roman" w:eastAsia="宋体" w:cs="Times New Roman"/>
                <w:b/>
                <w:bCs/>
                <w:color w:val="000000"/>
                <w:sz w:val="18"/>
                <w:szCs w:val="18"/>
                <w:lang w:eastAsia="en-US"/>
              </w:rPr>
              <w:t>最大分辨率</w:t>
            </w:r>
            <w:r>
              <w:rPr>
                <w:rFonts w:ascii="Times New Roman" w:hAnsi="Times New Roman" w:eastAsia="宋体" w:cs="Times New Roman"/>
                <w:b/>
                <w:bCs/>
                <w:color w:val="000000"/>
                <w:sz w:val="18"/>
                <w:szCs w:val="18"/>
              </w:rPr>
              <w:t>≥</w:t>
            </w:r>
            <w:r>
              <w:rPr>
                <w:rFonts w:ascii="Times New Roman" w:hAnsi="Times New Roman" w:eastAsia="宋体" w:cs="Times New Roman"/>
                <w:b/>
                <w:bCs/>
                <w:color w:val="000000"/>
                <w:sz w:val="18"/>
                <w:szCs w:val="18"/>
                <w:lang w:eastAsia="en-US"/>
              </w:rPr>
              <w:t>2688×1520；</w:t>
            </w:r>
          </w:p>
          <w:p w14:paraId="6325BBB2">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最低照度≤0.002Lux(彩色模式);≤0.0002Lux(黑白模);0Lux(补光灯开启)；</w:t>
            </w:r>
          </w:p>
          <w:p w14:paraId="06D9EF10">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最大补光距离≥30m（红外）；</w:t>
            </w:r>
          </w:p>
          <w:p w14:paraId="5ACD7FD9">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镜头类型定焦；</w:t>
            </w:r>
          </w:p>
          <w:p w14:paraId="0E4EE147">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参考镜头焦距2.8mm；</w:t>
            </w:r>
          </w:p>
          <w:p w14:paraId="5207234B">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通用行为分析物品遗留；物品搬移；周界防范绊线入侵；区域入侵；</w:t>
            </w:r>
          </w:p>
          <w:p w14:paraId="296781CD">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快速移动（三项均支持人车分类及精准检测）；</w:t>
            </w:r>
          </w:p>
          <w:p w14:paraId="43A4A46E">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徘徊检测；人员聚集；停车检测；</w:t>
            </w:r>
          </w:p>
          <w:p w14:paraId="680F3991">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视频压缩标准H.265；H.264；H.264H；H.264B；MJPEG；</w:t>
            </w:r>
          </w:p>
          <w:p w14:paraId="3DAB821F">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智能编码H.264：支持H.265。</w:t>
            </w:r>
          </w:p>
        </w:tc>
      </w:tr>
      <w:tr w14:paraId="5A7C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1AE1E03E">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4</w:t>
            </w:r>
          </w:p>
        </w:tc>
        <w:tc>
          <w:tcPr>
            <w:tcW w:w="1387" w:type="pct"/>
            <w:vAlign w:val="center"/>
          </w:tcPr>
          <w:p w14:paraId="3E2342F0">
            <w:pPr>
              <w:autoSpaceDE w:val="0"/>
              <w:autoSpaceDN w:val="0"/>
              <w:snapToGrid w:val="0"/>
              <w:spacing w:before="20" w:after="20"/>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定焦枪型网络摄像机</w:t>
            </w:r>
          </w:p>
        </w:tc>
        <w:tc>
          <w:tcPr>
            <w:tcW w:w="399" w:type="pct"/>
            <w:vAlign w:val="center"/>
          </w:tcPr>
          <w:p w14:paraId="585AC78C">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2</w:t>
            </w:r>
          </w:p>
        </w:tc>
        <w:tc>
          <w:tcPr>
            <w:tcW w:w="2953" w:type="pct"/>
            <w:vAlign w:val="center"/>
          </w:tcPr>
          <w:p w14:paraId="2904BF85">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rPr>
            </w:pPr>
            <w:r>
              <w:rPr>
                <w:rFonts w:hint="eastAsia" w:ascii="Times New Roman" w:hAnsi="Times New Roman" w:eastAsia="宋体" w:cs="Times New Roman"/>
                <w:b/>
                <w:bCs/>
                <w:sz w:val="18"/>
                <w:szCs w:val="18"/>
              </w:rPr>
              <w:t>＃</w:t>
            </w:r>
            <w:r>
              <w:rPr>
                <w:rFonts w:ascii="Times New Roman" w:hAnsi="Times New Roman" w:eastAsia="宋体" w:cs="Times New Roman"/>
                <w:b/>
                <w:bCs/>
                <w:color w:val="000000"/>
                <w:sz w:val="18"/>
                <w:szCs w:val="18"/>
              </w:rPr>
              <w:t>传感器类型≥1/2.7英寸CMOS；</w:t>
            </w:r>
          </w:p>
          <w:p w14:paraId="4CBBA804">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lang w:eastAsia="en-US"/>
              </w:rPr>
            </w:pPr>
            <w:r>
              <w:rPr>
                <w:rFonts w:hint="eastAsia" w:ascii="Times New Roman" w:hAnsi="Times New Roman" w:eastAsia="宋体" w:cs="Times New Roman"/>
                <w:b/>
                <w:bCs/>
                <w:color w:val="000000"/>
                <w:sz w:val="18"/>
                <w:szCs w:val="18"/>
                <w:lang w:eastAsia="en-US"/>
              </w:rPr>
              <w:t>▲</w:t>
            </w:r>
            <w:r>
              <w:rPr>
                <w:rFonts w:hint="eastAsia" w:ascii="Times New Roman" w:hAnsi="Times New Roman" w:eastAsia="宋体" w:cs="Times New Roman"/>
                <w:b/>
                <w:bCs/>
                <w:sz w:val="18"/>
                <w:szCs w:val="18"/>
              </w:rPr>
              <w:t>垂直</w:t>
            </w:r>
            <w:r>
              <w:rPr>
                <w:rFonts w:ascii="Times New Roman" w:hAnsi="Times New Roman" w:eastAsia="宋体" w:cs="Times New Roman"/>
                <w:b/>
                <w:bCs/>
                <w:color w:val="000000"/>
                <w:sz w:val="18"/>
                <w:szCs w:val="18"/>
                <w:lang w:eastAsia="en-US"/>
              </w:rPr>
              <w:t>像</w:t>
            </w:r>
            <w:r>
              <w:rPr>
                <w:rFonts w:ascii="Times New Roman" w:hAnsi="Times New Roman" w:eastAsia="宋体" w:cs="Times New Roman"/>
                <w:b/>
                <w:bCs/>
                <w:color w:val="000000"/>
                <w:sz w:val="18"/>
                <w:szCs w:val="18"/>
              </w:rPr>
              <w:t>素≥</w:t>
            </w:r>
            <w:r>
              <w:rPr>
                <w:rFonts w:ascii="Times New Roman" w:hAnsi="Times New Roman" w:eastAsia="宋体" w:cs="Times New Roman"/>
                <w:b/>
                <w:bCs/>
                <w:color w:val="000000"/>
                <w:sz w:val="18"/>
                <w:szCs w:val="18"/>
                <w:lang w:eastAsia="en-US"/>
              </w:rPr>
              <w:t>200万；</w:t>
            </w:r>
          </w:p>
          <w:p w14:paraId="3BBEFBDD">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lang w:eastAsia="en-US"/>
              </w:rPr>
            </w:pPr>
            <w:r>
              <w:rPr>
                <w:rFonts w:hint="eastAsia" w:ascii="Times New Roman" w:hAnsi="Times New Roman" w:eastAsia="宋体" w:cs="Times New Roman"/>
                <w:b/>
                <w:bCs/>
                <w:sz w:val="18"/>
                <w:szCs w:val="18"/>
              </w:rPr>
              <w:t>＃</w:t>
            </w:r>
            <w:r>
              <w:rPr>
                <w:rFonts w:ascii="Times New Roman" w:hAnsi="Times New Roman" w:eastAsia="宋体" w:cs="Times New Roman"/>
                <w:b/>
                <w:bCs/>
                <w:color w:val="000000"/>
                <w:sz w:val="18"/>
                <w:szCs w:val="18"/>
                <w:lang w:eastAsia="en-US"/>
              </w:rPr>
              <w:t>最大分辨率</w:t>
            </w:r>
            <w:r>
              <w:rPr>
                <w:rFonts w:ascii="Times New Roman" w:hAnsi="Times New Roman" w:eastAsia="宋体" w:cs="Times New Roman"/>
                <w:b/>
                <w:bCs/>
                <w:color w:val="000000"/>
                <w:sz w:val="18"/>
                <w:szCs w:val="18"/>
              </w:rPr>
              <w:t>≥</w:t>
            </w:r>
            <w:r>
              <w:rPr>
                <w:rFonts w:ascii="Times New Roman" w:hAnsi="Times New Roman" w:eastAsia="宋体" w:cs="Times New Roman"/>
                <w:b/>
                <w:bCs/>
                <w:color w:val="000000"/>
                <w:sz w:val="18"/>
                <w:szCs w:val="18"/>
                <w:lang w:eastAsia="en-US"/>
              </w:rPr>
              <w:t>2688×1520；</w:t>
            </w:r>
          </w:p>
          <w:p w14:paraId="2D9F3CCB">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最低照度0.002Lux(彩色模式);0.0002Lux(黑白模式);0Lux(补光灯开启)；</w:t>
            </w:r>
          </w:p>
          <w:p w14:paraId="334EB654">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最大补光距离≥50m（红外）；</w:t>
            </w:r>
          </w:p>
          <w:p w14:paraId="4FD9EC9F">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镜头类型定焦；参考镜头焦距3.6mm；</w:t>
            </w:r>
          </w:p>
          <w:p w14:paraId="0568EC66">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视频压缩标准H.265；H.264；H.264H；H.264B；MJPEG；</w:t>
            </w:r>
          </w:p>
          <w:p w14:paraId="7F5DEE7B">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智能编码H.264：支持H.265：支持；宽动态120dB。</w:t>
            </w:r>
          </w:p>
        </w:tc>
      </w:tr>
      <w:tr w14:paraId="1E17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47BC2F65">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5</w:t>
            </w:r>
          </w:p>
        </w:tc>
        <w:tc>
          <w:tcPr>
            <w:tcW w:w="1387" w:type="pct"/>
            <w:vAlign w:val="center"/>
          </w:tcPr>
          <w:p w14:paraId="7F67A77F">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color w:val="000000"/>
                <w:sz w:val="18"/>
                <w:szCs w:val="18"/>
              </w:rPr>
              <w:t>双光警戒定焦枪型网络摄像机</w:t>
            </w:r>
          </w:p>
        </w:tc>
        <w:tc>
          <w:tcPr>
            <w:tcW w:w="399" w:type="pct"/>
            <w:vAlign w:val="center"/>
          </w:tcPr>
          <w:p w14:paraId="31D23C46">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53" w:type="pct"/>
            <w:vAlign w:val="center"/>
          </w:tcPr>
          <w:p w14:paraId="3560EEEB">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rPr>
            </w:pPr>
            <w:r>
              <w:rPr>
                <w:rFonts w:hint="eastAsia" w:ascii="Times New Roman" w:hAnsi="Times New Roman" w:eastAsia="宋体" w:cs="Times New Roman"/>
                <w:b/>
                <w:bCs/>
                <w:sz w:val="18"/>
                <w:szCs w:val="18"/>
              </w:rPr>
              <w:t>＃</w:t>
            </w:r>
            <w:r>
              <w:rPr>
                <w:rFonts w:ascii="Times New Roman" w:hAnsi="Times New Roman" w:eastAsia="宋体" w:cs="Times New Roman"/>
                <w:b/>
                <w:bCs/>
                <w:color w:val="000000"/>
                <w:sz w:val="18"/>
                <w:szCs w:val="18"/>
              </w:rPr>
              <w:t>传感器类型≥1/2.8英寸CMOS；</w:t>
            </w:r>
          </w:p>
          <w:p w14:paraId="1D652D1A">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lang w:eastAsia="en-US"/>
              </w:rPr>
            </w:pPr>
            <w:r>
              <w:rPr>
                <w:rFonts w:hint="eastAsia" w:ascii="Times New Roman" w:hAnsi="Times New Roman" w:eastAsia="宋体" w:cs="Times New Roman"/>
                <w:b/>
                <w:bCs/>
                <w:color w:val="000000"/>
                <w:sz w:val="18"/>
                <w:szCs w:val="18"/>
                <w:lang w:eastAsia="en-US"/>
              </w:rPr>
              <w:t>▲</w:t>
            </w:r>
            <w:r>
              <w:rPr>
                <w:rFonts w:hint="eastAsia" w:ascii="Times New Roman" w:hAnsi="Times New Roman" w:eastAsia="宋体" w:cs="Times New Roman"/>
                <w:b/>
                <w:bCs/>
                <w:sz w:val="18"/>
                <w:szCs w:val="18"/>
              </w:rPr>
              <w:t>垂直</w:t>
            </w:r>
            <w:r>
              <w:rPr>
                <w:rFonts w:ascii="Times New Roman" w:hAnsi="Times New Roman" w:eastAsia="宋体" w:cs="Times New Roman"/>
                <w:b/>
                <w:bCs/>
                <w:color w:val="000000"/>
                <w:sz w:val="18"/>
                <w:szCs w:val="18"/>
                <w:lang w:eastAsia="en-US"/>
              </w:rPr>
              <w:t>像</w:t>
            </w:r>
            <w:r>
              <w:rPr>
                <w:rFonts w:ascii="Times New Roman" w:hAnsi="Times New Roman" w:eastAsia="宋体" w:cs="Times New Roman"/>
                <w:b/>
                <w:bCs/>
                <w:color w:val="000000"/>
                <w:sz w:val="18"/>
                <w:szCs w:val="18"/>
              </w:rPr>
              <w:t>素≥</w:t>
            </w:r>
            <w:r>
              <w:rPr>
                <w:rFonts w:ascii="Times New Roman" w:hAnsi="Times New Roman" w:eastAsia="宋体" w:cs="Times New Roman"/>
                <w:b/>
                <w:bCs/>
                <w:color w:val="000000"/>
                <w:sz w:val="18"/>
                <w:szCs w:val="18"/>
                <w:lang w:eastAsia="en-US"/>
              </w:rPr>
              <w:t>200万；</w:t>
            </w:r>
          </w:p>
          <w:p w14:paraId="3D017661">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lang w:eastAsia="en-US"/>
              </w:rPr>
            </w:pPr>
            <w:r>
              <w:rPr>
                <w:rFonts w:hint="eastAsia" w:ascii="Times New Roman" w:hAnsi="Times New Roman" w:eastAsia="宋体" w:cs="Times New Roman"/>
                <w:b/>
                <w:bCs/>
                <w:sz w:val="18"/>
                <w:szCs w:val="18"/>
              </w:rPr>
              <w:t>＃</w:t>
            </w:r>
            <w:r>
              <w:rPr>
                <w:rFonts w:ascii="Times New Roman" w:hAnsi="Times New Roman" w:eastAsia="宋体" w:cs="Times New Roman"/>
                <w:b/>
                <w:bCs/>
                <w:color w:val="000000"/>
                <w:sz w:val="18"/>
                <w:szCs w:val="18"/>
                <w:lang w:eastAsia="en-US"/>
              </w:rPr>
              <w:t>最大分辨率</w:t>
            </w:r>
            <w:r>
              <w:rPr>
                <w:rFonts w:ascii="Times New Roman" w:hAnsi="Times New Roman" w:eastAsia="宋体" w:cs="Times New Roman"/>
                <w:b/>
                <w:bCs/>
                <w:color w:val="000000"/>
                <w:sz w:val="18"/>
                <w:szCs w:val="18"/>
              </w:rPr>
              <w:t>≥</w:t>
            </w:r>
            <w:r>
              <w:rPr>
                <w:rFonts w:ascii="Times New Roman" w:hAnsi="Times New Roman" w:eastAsia="宋体" w:cs="Times New Roman"/>
                <w:b/>
                <w:bCs/>
                <w:color w:val="000000"/>
                <w:sz w:val="18"/>
                <w:szCs w:val="18"/>
                <w:lang w:eastAsia="en-US"/>
              </w:rPr>
              <w:t>1920×1080</w:t>
            </w:r>
            <w:r>
              <w:rPr>
                <w:rFonts w:ascii="Times New Roman" w:hAnsi="Times New Roman" w:eastAsia="宋体" w:cs="Times New Roman"/>
                <w:b/>
                <w:bCs/>
                <w:color w:val="000000"/>
                <w:sz w:val="18"/>
                <w:szCs w:val="18"/>
              </w:rPr>
              <w:t>像素</w:t>
            </w:r>
            <w:r>
              <w:rPr>
                <w:rFonts w:ascii="Times New Roman" w:hAnsi="Times New Roman" w:eastAsia="宋体" w:cs="Times New Roman"/>
                <w:b/>
                <w:bCs/>
                <w:color w:val="000000"/>
                <w:sz w:val="18"/>
                <w:szCs w:val="18"/>
                <w:lang w:eastAsia="en-US"/>
              </w:rPr>
              <w:t>；</w:t>
            </w:r>
          </w:p>
          <w:p w14:paraId="5015F945">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最低照度≤0.002Lux(彩色模式);≤0.0002Lux(黑白模式)；0Lux(补光灯开启)。</w:t>
            </w:r>
          </w:p>
          <w:p w14:paraId="5F758616">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最大补光距离≥80m（红外视频监控距离）。≥30m（暖光视频监控距离），≥10m（暖光人脸检测距离），支持区域内人员进行数量统计，支持≥4条规则配置，对限定的区域内人数和滞留时间进行统计并联动报警。支持排队管理，支持≥4条规则配置，对限定的排队人数和排队时间进行统计并联动报警；</w:t>
            </w:r>
          </w:p>
          <w:p w14:paraId="4DEAC7B1">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视频压缩标准H.265；H.264；H.264H；H.264B；</w:t>
            </w:r>
          </w:p>
          <w:p w14:paraId="703D3119">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报警事件无SD卡；SD卡空间不足；SD卡出错；网络断开；IP冲突等。</w:t>
            </w:r>
          </w:p>
        </w:tc>
      </w:tr>
      <w:tr w14:paraId="786D7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32002E42">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6</w:t>
            </w:r>
          </w:p>
        </w:tc>
        <w:tc>
          <w:tcPr>
            <w:tcW w:w="1387" w:type="pct"/>
            <w:vAlign w:val="center"/>
          </w:tcPr>
          <w:p w14:paraId="4A858535">
            <w:pPr>
              <w:autoSpaceDE w:val="0"/>
              <w:autoSpaceDN w:val="0"/>
              <w:snapToGrid w:val="0"/>
              <w:spacing w:before="20" w:after="20"/>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合智能暖光超星光球机</w:t>
            </w:r>
          </w:p>
        </w:tc>
        <w:tc>
          <w:tcPr>
            <w:tcW w:w="399" w:type="pct"/>
            <w:vAlign w:val="center"/>
          </w:tcPr>
          <w:p w14:paraId="5A620A9C">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53" w:type="pct"/>
            <w:vAlign w:val="center"/>
          </w:tcPr>
          <w:p w14:paraId="55641A83">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sz w:val="18"/>
                <w:szCs w:val="18"/>
              </w:rPr>
              <w:t>▲</w:t>
            </w:r>
            <w:r>
              <w:rPr>
                <w:rFonts w:hint="eastAsia" w:ascii="Times New Roman" w:hAnsi="Times New Roman" w:eastAsia="宋体" w:cs="Times New Roman"/>
                <w:b/>
                <w:bCs/>
                <w:sz w:val="18"/>
                <w:szCs w:val="18"/>
              </w:rPr>
              <w:t>垂直</w:t>
            </w:r>
            <w:r>
              <w:rPr>
                <w:rFonts w:ascii="Times New Roman" w:hAnsi="Times New Roman" w:eastAsia="宋体" w:cs="Times New Roman"/>
                <w:b/>
                <w:bCs/>
                <w:color w:val="000000"/>
                <w:sz w:val="18"/>
                <w:szCs w:val="18"/>
              </w:rPr>
              <w:t>像素≥</w:t>
            </w:r>
            <w:r>
              <w:rPr>
                <w:rFonts w:ascii="Times New Roman" w:hAnsi="Times New Roman" w:eastAsia="宋体" w:cs="Times New Roman"/>
                <w:b/>
                <w:bCs/>
                <w:color w:val="000000"/>
                <w:sz w:val="18"/>
                <w:szCs w:val="18"/>
                <w:lang w:eastAsia="en-US"/>
              </w:rPr>
              <w:t>200万</w:t>
            </w:r>
            <w:r>
              <w:rPr>
                <w:rFonts w:ascii="Times New Roman" w:hAnsi="Times New Roman" w:eastAsia="宋体" w:cs="Times New Roman"/>
                <w:b/>
                <w:bCs/>
                <w:color w:val="000000"/>
                <w:sz w:val="18"/>
                <w:szCs w:val="18"/>
              </w:rPr>
              <w:t>；</w:t>
            </w:r>
          </w:p>
          <w:p w14:paraId="1CD89D57">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lang w:eastAsia="en-US"/>
              </w:rPr>
            </w:pPr>
            <w:r>
              <w:rPr>
                <w:rFonts w:hint="eastAsia" w:ascii="Times New Roman" w:hAnsi="Times New Roman" w:eastAsia="宋体" w:cs="Times New Roman"/>
                <w:b/>
                <w:bCs/>
                <w:sz w:val="18"/>
                <w:szCs w:val="18"/>
              </w:rPr>
              <w:t>＃</w:t>
            </w:r>
            <w:r>
              <w:rPr>
                <w:rFonts w:ascii="Times New Roman" w:hAnsi="Times New Roman" w:eastAsia="宋体" w:cs="Times New Roman"/>
                <w:b/>
                <w:bCs/>
                <w:color w:val="000000"/>
                <w:sz w:val="18"/>
                <w:szCs w:val="18"/>
              </w:rPr>
              <w:t>最大分辨率≥</w:t>
            </w:r>
            <w:r>
              <w:rPr>
                <w:rFonts w:ascii="Times New Roman" w:hAnsi="Times New Roman" w:eastAsia="宋体" w:cs="Times New Roman"/>
                <w:b/>
                <w:bCs/>
                <w:color w:val="000000"/>
                <w:sz w:val="18"/>
                <w:szCs w:val="18"/>
                <w:lang w:eastAsia="en-US"/>
              </w:rPr>
              <w:t>2688×1520；</w:t>
            </w:r>
          </w:p>
          <w:p w14:paraId="281761BC">
            <w:pPr>
              <w:autoSpaceDE w:val="0"/>
              <w:autoSpaceDN w:val="0"/>
              <w:adjustRightInd w:val="0"/>
              <w:snapToGrid w:val="0"/>
              <w:spacing w:before="20" w:after="20"/>
              <w:ind w:left="20"/>
              <w:jc w:val="left"/>
              <w:rPr>
                <w:rFonts w:ascii="Times New Roman" w:hAnsi="Times New Roman" w:eastAsia="宋体" w:cs="Times New Roman"/>
                <w:color w:val="000000"/>
                <w:sz w:val="18"/>
                <w:szCs w:val="18"/>
                <w:lang w:eastAsia="en-US"/>
              </w:rPr>
            </w:pPr>
            <w:r>
              <w:rPr>
                <w:rFonts w:ascii="Times New Roman" w:hAnsi="Times New Roman" w:eastAsia="宋体" w:cs="Times New Roman"/>
                <w:color w:val="000000"/>
                <w:sz w:val="18"/>
                <w:szCs w:val="18"/>
                <w:lang w:eastAsia="en-US"/>
              </w:rPr>
              <w:t>最低照度全景：彩色：</w:t>
            </w: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lang w:eastAsia="en-US"/>
              </w:rPr>
              <w:t>0.001Lux@F1.0，黑白：</w:t>
            </w: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lang w:eastAsia="en-US"/>
              </w:rPr>
              <w:t>0.0001Lux@F1.0。</w:t>
            </w:r>
          </w:p>
          <w:p w14:paraId="27D6F8D2">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可视域功能支持；支持；支持机动车抓拍；机动车属性提取；支持非机动车抓拍；非机动车属性提取；</w:t>
            </w:r>
          </w:p>
          <w:p w14:paraId="657F3995">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支持人体抓拍；人体属性提取；支持人脸抓拍；人脸属性提取；支持绊线入侵、区域入侵、穿越围栏、徘徊、物品遗留、物品搬移、快速移动、停车、人员聚集检测；支持人车分类报警；</w:t>
            </w:r>
          </w:p>
          <w:p w14:paraId="2D68473E">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支持联动跟踪；支持人脸检测；支持人脸优选抓拍；支持人脸区域增强；</w:t>
            </w:r>
          </w:p>
          <w:p w14:paraId="03BF1176">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支持人脸属性提取；支持至少7种属性8种表情：性别，年龄，眼镜，表情（高兴、惊讶、平静、愤怒、悲伤、厌恶、困惑、害怕），口罩，胡子。</w:t>
            </w:r>
          </w:p>
        </w:tc>
      </w:tr>
      <w:tr w14:paraId="26FB2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21CB4D00">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7</w:t>
            </w:r>
          </w:p>
        </w:tc>
        <w:tc>
          <w:tcPr>
            <w:tcW w:w="1387" w:type="pct"/>
            <w:vAlign w:val="center"/>
          </w:tcPr>
          <w:p w14:paraId="1AF97A51">
            <w:pPr>
              <w:autoSpaceDE w:val="0"/>
              <w:autoSpaceDN w:val="0"/>
              <w:snapToGrid w:val="0"/>
              <w:spacing w:before="20" w:after="20"/>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32倍200W全光谱网络球机</w:t>
            </w:r>
          </w:p>
        </w:tc>
        <w:tc>
          <w:tcPr>
            <w:tcW w:w="399" w:type="pct"/>
            <w:vAlign w:val="center"/>
          </w:tcPr>
          <w:p w14:paraId="78BCB515">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6</w:t>
            </w:r>
          </w:p>
        </w:tc>
        <w:tc>
          <w:tcPr>
            <w:tcW w:w="2953" w:type="pct"/>
            <w:vAlign w:val="center"/>
          </w:tcPr>
          <w:p w14:paraId="284ED46B">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rPr>
            </w:pPr>
            <w:r>
              <w:rPr>
                <w:rFonts w:hint="eastAsia" w:ascii="Times New Roman" w:hAnsi="Times New Roman" w:eastAsia="宋体" w:cs="Times New Roman"/>
                <w:b/>
                <w:bCs/>
                <w:sz w:val="18"/>
                <w:szCs w:val="18"/>
              </w:rPr>
              <w:t>＃</w:t>
            </w:r>
            <w:r>
              <w:rPr>
                <w:rFonts w:ascii="Times New Roman" w:hAnsi="Times New Roman" w:eastAsia="宋体" w:cs="Times New Roman"/>
                <w:b/>
                <w:bCs/>
                <w:color w:val="000000"/>
                <w:sz w:val="18"/>
                <w:szCs w:val="18"/>
              </w:rPr>
              <w:t>传感器类型≥1/2.8英寸CMOS；</w:t>
            </w:r>
          </w:p>
          <w:p w14:paraId="2EEC2C31">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lang w:eastAsia="en-US"/>
              </w:rPr>
            </w:pPr>
            <w:r>
              <w:rPr>
                <w:rFonts w:hint="eastAsia" w:ascii="Times New Roman" w:hAnsi="Times New Roman" w:eastAsia="宋体" w:cs="Times New Roman"/>
                <w:b/>
                <w:bCs/>
                <w:color w:val="000000"/>
                <w:sz w:val="18"/>
                <w:szCs w:val="18"/>
              </w:rPr>
              <w:t>▲</w:t>
            </w:r>
            <w:r>
              <w:rPr>
                <w:rFonts w:hint="eastAsia" w:ascii="Times New Roman" w:hAnsi="Times New Roman" w:eastAsia="宋体" w:cs="Times New Roman"/>
                <w:b/>
                <w:bCs/>
                <w:sz w:val="18"/>
                <w:szCs w:val="18"/>
              </w:rPr>
              <w:t>垂直</w:t>
            </w:r>
            <w:r>
              <w:rPr>
                <w:rFonts w:ascii="Times New Roman" w:hAnsi="Times New Roman" w:eastAsia="宋体" w:cs="Times New Roman"/>
                <w:b/>
                <w:bCs/>
                <w:color w:val="000000"/>
                <w:sz w:val="18"/>
                <w:szCs w:val="18"/>
              </w:rPr>
              <w:t>像素≥</w:t>
            </w:r>
            <w:r>
              <w:rPr>
                <w:rFonts w:ascii="Times New Roman" w:hAnsi="Times New Roman" w:eastAsia="宋体" w:cs="Times New Roman"/>
                <w:b/>
                <w:bCs/>
                <w:color w:val="000000"/>
                <w:sz w:val="18"/>
                <w:szCs w:val="18"/>
                <w:lang w:eastAsia="en-US"/>
              </w:rPr>
              <w:t>200万；</w:t>
            </w:r>
          </w:p>
          <w:p w14:paraId="3B7F596F">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lang w:eastAsia="en-US"/>
              </w:rPr>
            </w:pPr>
            <w:r>
              <w:rPr>
                <w:rFonts w:hint="eastAsia" w:ascii="Times New Roman" w:hAnsi="Times New Roman" w:eastAsia="宋体" w:cs="Times New Roman"/>
                <w:b/>
                <w:bCs/>
                <w:sz w:val="18"/>
                <w:szCs w:val="18"/>
              </w:rPr>
              <w:t>＃</w:t>
            </w:r>
            <w:r>
              <w:rPr>
                <w:rFonts w:ascii="Times New Roman" w:hAnsi="Times New Roman" w:eastAsia="宋体" w:cs="Times New Roman"/>
                <w:b/>
                <w:bCs/>
                <w:color w:val="000000"/>
                <w:sz w:val="18"/>
                <w:szCs w:val="18"/>
              </w:rPr>
              <w:t>最大分辨率≥</w:t>
            </w:r>
            <w:r>
              <w:rPr>
                <w:rFonts w:ascii="Times New Roman" w:hAnsi="Times New Roman" w:eastAsia="宋体" w:cs="Times New Roman"/>
                <w:b/>
                <w:bCs/>
                <w:color w:val="000000"/>
                <w:sz w:val="18"/>
                <w:szCs w:val="18"/>
                <w:lang w:eastAsia="en-US"/>
              </w:rPr>
              <w:t>2560×1440；</w:t>
            </w:r>
          </w:p>
          <w:p w14:paraId="17AC21F5">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lang w:eastAsia="en-US"/>
              </w:rPr>
              <w:t>最低照度彩色：</w:t>
            </w: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lang w:eastAsia="en-US"/>
              </w:rPr>
              <w:t>0.005lux@F1.6。</w:t>
            </w:r>
            <w:r>
              <w:rPr>
                <w:rFonts w:ascii="Times New Roman" w:hAnsi="Times New Roman" w:eastAsia="宋体" w:cs="Times New Roman"/>
                <w:color w:val="000000"/>
                <w:sz w:val="18"/>
                <w:szCs w:val="18"/>
              </w:rPr>
              <w:t>黑白：≤0.0005lux@F1.6。0Lux（红外灯开启）；≥150m（红外）；镜头焦距不劣于4.8mm~154mm；≥32倍；可视域功能支持；支持绊线入侵、区域入侵、滞留检测 ，支持人车分类报警；电子防抖；电子透雾；音频输入1路（LINE IN；裸线）；音频输出1路（LINE OUT；裸线）；报警接口至少2进1出；语音对讲支持；报警输入至少2路，开关量输入（0~5V DC）；供电方式DC12V/3A±10%。</w:t>
            </w:r>
          </w:p>
        </w:tc>
      </w:tr>
      <w:tr w14:paraId="0DB03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06FB9249">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8</w:t>
            </w:r>
          </w:p>
        </w:tc>
        <w:tc>
          <w:tcPr>
            <w:tcW w:w="1387" w:type="pct"/>
            <w:vAlign w:val="center"/>
          </w:tcPr>
          <w:p w14:paraId="4F28D2F2">
            <w:pPr>
              <w:autoSpaceDE w:val="0"/>
              <w:autoSpaceDN w:val="0"/>
              <w:snapToGrid w:val="0"/>
              <w:spacing w:before="20" w:after="20"/>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网络硬盘录像机</w:t>
            </w:r>
          </w:p>
        </w:tc>
        <w:tc>
          <w:tcPr>
            <w:tcW w:w="399" w:type="pct"/>
            <w:vAlign w:val="center"/>
          </w:tcPr>
          <w:p w14:paraId="4A2C493C">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53" w:type="pct"/>
            <w:vAlign w:val="center"/>
          </w:tcPr>
          <w:p w14:paraId="5BC413F6">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rPr>
            </w:pPr>
            <w:r>
              <w:rPr>
                <w:rFonts w:ascii="Times New Roman" w:hAnsi="Times New Roman" w:eastAsia="宋体" w:cs="Times New Roman"/>
                <w:b/>
                <w:bCs/>
                <w:color w:val="000000"/>
                <w:sz w:val="18"/>
                <w:szCs w:val="18"/>
              </w:rPr>
              <w:t>▲接入路数：≥64路；硬盘接口：≥8个SATA，单盘最大≥16T；</w:t>
            </w:r>
          </w:p>
          <w:p w14:paraId="7D598509">
            <w:pPr>
              <w:autoSpaceDE w:val="0"/>
              <w:autoSpaceDN w:val="0"/>
              <w:adjustRightInd w:val="0"/>
              <w:snapToGrid w:val="0"/>
              <w:spacing w:before="20" w:after="20"/>
              <w:ind w:left="20"/>
              <w:jc w:val="left"/>
              <w:rPr>
                <w:rFonts w:ascii="Times New Roman" w:hAnsi="Times New Roman" w:eastAsia="宋体" w:cs="Times New Roman"/>
                <w:color w:val="000000"/>
                <w:sz w:val="18"/>
                <w:szCs w:val="18"/>
                <w:lang w:eastAsia="en-US"/>
              </w:rPr>
            </w:pPr>
            <w:r>
              <w:rPr>
                <w:rFonts w:ascii="Times New Roman" w:hAnsi="Times New Roman" w:eastAsia="宋体" w:cs="Times New Roman"/>
                <w:color w:val="000000"/>
                <w:sz w:val="18"/>
                <w:szCs w:val="18"/>
                <w:lang w:eastAsia="en-US"/>
              </w:rPr>
              <w:t>分辨率：32MP;24MP;16MP; 12MP; 8MP; 6MP; 5MP; 4MP; 3MP; 1080p; 960p; 720p; D1; CIF</w:t>
            </w:r>
            <w:r>
              <w:rPr>
                <w:rFonts w:ascii="Times New Roman" w:hAnsi="Times New Roman" w:eastAsia="宋体" w:cs="Times New Roman"/>
                <w:color w:val="000000"/>
                <w:sz w:val="18"/>
                <w:szCs w:val="18"/>
              </w:rPr>
              <w:t>等</w:t>
            </w:r>
            <w:r>
              <w:rPr>
                <w:rFonts w:ascii="Times New Roman" w:hAnsi="Times New Roman" w:eastAsia="宋体" w:cs="Times New Roman"/>
                <w:color w:val="000000"/>
                <w:sz w:val="18"/>
                <w:szCs w:val="18"/>
                <w:lang w:eastAsia="en-US"/>
              </w:rPr>
              <w:t>；解码能力：不开智能：</w:t>
            </w: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lang w:eastAsia="en-US"/>
              </w:rPr>
              <w:t>2路32M@20fps; 2路24M@20fps; 4路 16 MP@30fps; 5路 12 MP@30fps; 8路 8 MP@30fps; 12路 5 MP@30fps; 16路 4 MP@30fps; 32路 1080p@30fps开智能：1路 32 MP@20fps; 1路 24 MP@20fps; 2路 16 MP@30fps; 4路 12 MP@30fps; 4路 8 MP@30fps; 8路 5 MP@30fps; 12路 4 MP@30fps; 24路 1080p@30fps；多路回放：最大支持</w:t>
            </w: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lang w:eastAsia="en-US"/>
              </w:rPr>
              <w:t>16路回放；报警输入：</w:t>
            </w: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lang w:eastAsia="en-US"/>
              </w:rPr>
              <w:t>16路；报警输出：</w:t>
            </w: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lang w:eastAsia="en-US"/>
              </w:rPr>
              <w:t>8路，其中1路12V1A ctrl输出。</w:t>
            </w:r>
          </w:p>
        </w:tc>
      </w:tr>
      <w:tr w14:paraId="2BCC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7710A90C">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9</w:t>
            </w:r>
          </w:p>
        </w:tc>
        <w:tc>
          <w:tcPr>
            <w:tcW w:w="1387" w:type="pct"/>
            <w:vAlign w:val="center"/>
          </w:tcPr>
          <w:p w14:paraId="746BA540">
            <w:pPr>
              <w:autoSpaceDE w:val="0"/>
              <w:autoSpaceDN w:val="0"/>
              <w:snapToGrid w:val="0"/>
              <w:spacing w:before="20" w:after="20"/>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机械硬盘</w:t>
            </w:r>
          </w:p>
        </w:tc>
        <w:tc>
          <w:tcPr>
            <w:tcW w:w="399" w:type="pct"/>
            <w:vAlign w:val="center"/>
          </w:tcPr>
          <w:p w14:paraId="7C8D272C">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3</w:t>
            </w:r>
          </w:p>
        </w:tc>
        <w:tc>
          <w:tcPr>
            <w:tcW w:w="2953" w:type="pct"/>
            <w:vAlign w:val="center"/>
          </w:tcPr>
          <w:p w14:paraId="2D780FC8">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rPr>
            </w:pPr>
            <w:r>
              <w:rPr>
                <w:rFonts w:ascii="Times New Roman" w:hAnsi="Times New Roman" w:eastAsia="宋体" w:cs="Times New Roman"/>
                <w:b/>
                <w:bCs/>
                <w:color w:val="000000"/>
                <w:sz w:val="18"/>
                <w:szCs w:val="18"/>
              </w:rPr>
              <w:t>▲≥8T；</w:t>
            </w:r>
          </w:p>
          <w:p w14:paraId="366BA7C8">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7200RPM；</w:t>
            </w:r>
          </w:p>
          <w:p w14:paraId="260CC52D">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256M；SATA；接警室.配合网络硬盘录像机使用，用于存储视频图像。</w:t>
            </w:r>
          </w:p>
        </w:tc>
      </w:tr>
      <w:tr w14:paraId="0051C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1E01ED19">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10</w:t>
            </w:r>
          </w:p>
        </w:tc>
        <w:tc>
          <w:tcPr>
            <w:tcW w:w="1387" w:type="pct"/>
            <w:vAlign w:val="center"/>
          </w:tcPr>
          <w:p w14:paraId="155BB116">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color w:val="000000"/>
                <w:sz w:val="18"/>
                <w:szCs w:val="18"/>
              </w:rPr>
              <w:t>智能物联综合管理平台一体机</w:t>
            </w:r>
          </w:p>
        </w:tc>
        <w:tc>
          <w:tcPr>
            <w:tcW w:w="399" w:type="pct"/>
            <w:vAlign w:val="center"/>
          </w:tcPr>
          <w:p w14:paraId="64EA352A">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53" w:type="pct"/>
            <w:vAlign w:val="center"/>
          </w:tcPr>
          <w:p w14:paraId="0864257E">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包括系统管理、视频管理、报警管理、设备运维等其中;</w:t>
            </w:r>
          </w:p>
          <w:p w14:paraId="0A88B230">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1、系统管理;   支持基础资源（组织、设备、人、卡、车等信息）管理，提供事件中心、数据存储、电子地图、日志记录等基础功能;支持平台运维，提供服务部署维护功能、支持模块化升级部署、系统资源使用情况监控等运维相关功能；支持标准开放平台，提供rest ful 等多维度接口，显示数据互联互通；支持自定义定制，如：皮肤切换，设备校时，表单自定义；支持按照用户配置的权限过滤展示组织设备树、部门人员树、数据查询；</w:t>
            </w:r>
          </w:p>
          <w:p w14:paraId="258034F0">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2、视频管理;</w:t>
            </w:r>
          </w:p>
          <w:p w14:paraId="080A622A">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支持实时视频、录像回放、录像下载、电视墙、雷球联动，热成像。</w:t>
            </w:r>
          </w:p>
        </w:tc>
      </w:tr>
      <w:tr w14:paraId="6A933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13C52219">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11</w:t>
            </w:r>
          </w:p>
        </w:tc>
        <w:tc>
          <w:tcPr>
            <w:tcW w:w="1387" w:type="pct"/>
            <w:vAlign w:val="center"/>
          </w:tcPr>
          <w:p w14:paraId="0A2E5063">
            <w:pPr>
              <w:autoSpaceDE w:val="0"/>
              <w:autoSpaceDN w:val="0"/>
              <w:snapToGrid w:val="0"/>
              <w:spacing w:before="20" w:after="20"/>
              <w:jc w:val="center"/>
              <w:rPr>
                <w:rFonts w:ascii="Times New Roman" w:hAnsi="Times New Roman" w:eastAsia="宋体" w:cs="Times New Roman"/>
                <w:sz w:val="20"/>
                <w:szCs w:val="20"/>
                <w:lang w:eastAsia="en-US"/>
              </w:rPr>
            </w:pPr>
            <w:r>
              <w:rPr>
                <w:rFonts w:ascii="Times New Roman" w:hAnsi="Times New Roman" w:eastAsia="宋体" w:cs="Times New Roman"/>
                <w:sz w:val="18"/>
                <w:szCs w:val="18"/>
                <w:lang w:eastAsia="en-US"/>
              </w:rPr>
              <w:t>智能视频监控一体机</w:t>
            </w:r>
          </w:p>
        </w:tc>
        <w:tc>
          <w:tcPr>
            <w:tcW w:w="399" w:type="pct"/>
            <w:vAlign w:val="center"/>
          </w:tcPr>
          <w:p w14:paraId="60002AB6">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1</w:t>
            </w:r>
          </w:p>
        </w:tc>
        <w:tc>
          <w:tcPr>
            <w:tcW w:w="2953" w:type="pct"/>
            <w:vAlign w:val="center"/>
          </w:tcPr>
          <w:p w14:paraId="4FEC8429">
            <w:pPr>
              <w:autoSpaceDE w:val="0"/>
              <w:autoSpaceDN w:val="0"/>
              <w:adjustRightInd w:val="0"/>
              <w:snapToGrid w:val="0"/>
              <w:spacing w:before="20" w:after="20"/>
              <w:ind w:left="20"/>
              <w:jc w:val="left"/>
              <w:rPr>
                <w:rFonts w:ascii="Times New Roman" w:hAnsi="Times New Roman" w:eastAsia="宋体" w:cs="Times New Roman"/>
                <w:b/>
                <w:bCs/>
                <w:sz w:val="18"/>
                <w:szCs w:val="18"/>
              </w:rPr>
            </w:pPr>
            <w:r>
              <w:rPr>
                <w:rFonts w:ascii="Times New Roman" w:hAnsi="Times New Roman" w:eastAsia="宋体" w:cs="Times New Roman"/>
                <w:b/>
                <w:bCs/>
                <w:color w:val="000000"/>
                <w:sz w:val="18"/>
                <w:szCs w:val="18"/>
              </w:rPr>
              <w:t>▲</w:t>
            </w:r>
            <w:r>
              <w:rPr>
                <w:rFonts w:ascii="Times New Roman" w:hAnsi="Times New Roman" w:eastAsia="宋体" w:cs="Times New Roman"/>
                <w:b/>
                <w:bCs/>
                <w:sz w:val="18"/>
                <w:szCs w:val="18"/>
              </w:rPr>
              <w:t>接入路数：</w:t>
            </w:r>
            <w:r>
              <w:rPr>
                <w:rFonts w:ascii="Times New Roman" w:hAnsi="Times New Roman" w:eastAsia="宋体" w:cs="Times New Roman"/>
                <w:b/>
                <w:bCs/>
                <w:color w:val="000000"/>
                <w:sz w:val="18"/>
                <w:szCs w:val="18"/>
              </w:rPr>
              <w:t>≥</w:t>
            </w:r>
            <w:r>
              <w:rPr>
                <w:rFonts w:ascii="Times New Roman" w:hAnsi="Times New Roman" w:eastAsia="宋体" w:cs="Times New Roman"/>
                <w:b/>
                <w:bCs/>
                <w:sz w:val="18"/>
                <w:szCs w:val="18"/>
              </w:rPr>
              <w:t>64路；硬盘接口：</w:t>
            </w:r>
            <w:r>
              <w:rPr>
                <w:rFonts w:ascii="Times New Roman" w:hAnsi="Times New Roman" w:eastAsia="宋体" w:cs="Times New Roman"/>
                <w:b/>
                <w:bCs/>
                <w:color w:val="000000"/>
                <w:sz w:val="18"/>
                <w:szCs w:val="18"/>
              </w:rPr>
              <w:t>≥</w:t>
            </w:r>
            <w:r>
              <w:rPr>
                <w:rFonts w:ascii="Times New Roman" w:hAnsi="Times New Roman" w:eastAsia="宋体" w:cs="Times New Roman"/>
                <w:b/>
                <w:bCs/>
                <w:sz w:val="18"/>
                <w:szCs w:val="18"/>
              </w:rPr>
              <w:t>16个，SATA3.0，单盘最大</w:t>
            </w:r>
            <w:r>
              <w:rPr>
                <w:rFonts w:ascii="Times New Roman" w:hAnsi="Times New Roman" w:eastAsia="宋体" w:cs="Times New Roman"/>
                <w:b/>
                <w:bCs/>
                <w:color w:val="000000"/>
                <w:sz w:val="18"/>
                <w:szCs w:val="18"/>
              </w:rPr>
              <w:t>≥</w:t>
            </w:r>
            <w:r>
              <w:rPr>
                <w:rFonts w:ascii="Times New Roman" w:hAnsi="Times New Roman" w:eastAsia="宋体" w:cs="Times New Roman"/>
                <w:b/>
                <w:bCs/>
                <w:sz w:val="18"/>
                <w:szCs w:val="18"/>
              </w:rPr>
              <w:t>16T；</w:t>
            </w:r>
          </w:p>
          <w:p w14:paraId="2088E9A5">
            <w:pPr>
              <w:autoSpaceDE w:val="0"/>
              <w:autoSpaceDN w:val="0"/>
              <w:adjustRightInd w:val="0"/>
              <w:snapToGrid w:val="0"/>
              <w:spacing w:before="20" w:after="20"/>
              <w:ind w:left="20"/>
              <w:jc w:val="left"/>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分辨率：</w:t>
            </w:r>
            <w:r>
              <w:rPr>
                <w:rFonts w:ascii="Times New Roman" w:hAnsi="Times New Roman" w:eastAsia="宋体" w:cs="Times New Roman"/>
                <w:sz w:val="18"/>
                <w:szCs w:val="18"/>
              </w:rPr>
              <w:t>不限于</w:t>
            </w:r>
            <w:r>
              <w:rPr>
                <w:rFonts w:ascii="Times New Roman" w:hAnsi="Times New Roman" w:eastAsia="宋体" w:cs="Times New Roman"/>
                <w:sz w:val="18"/>
                <w:szCs w:val="18"/>
                <w:lang w:eastAsia="en-US"/>
              </w:rPr>
              <w:t>24MP/16MP/12MP/8MP/6MP/5MP/4MP/3MP/1080P/720P；解码能力：1路24MP/2路16MP/5路12MP (20fps)/6路12MP (15fps)/5路8MP (30fps)/10路8MP (15fps)/6路6MP(30fps)/8路5MP(30fps)/9路5MP (25fps)/10路4MP (30fps)/15路4MP (20fps)/16路3MP (25fps)/10路1080P (60fps)/20路1080P (30fps)/30路720P (30fps)；多路回放。</w:t>
            </w:r>
          </w:p>
        </w:tc>
      </w:tr>
      <w:tr w14:paraId="7669E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7F1B3606">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12</w:t>
            </w:r>
          </w:p>
        </w:tc>
        <w:tc>
          <w:tcPr>
            <w:tcW w:w="1387" w:type="pct"/>
            <w:vAlign w:val="center"/>
          </w:tcPr>
          <w:p w14:paraId="7B813A09">
            <w:pPr>
              <w:autoSpaceDE w:val="0"/>
              <w:autoSpaceDN w:val="0"/>
              <w:snapToGrid w:val="0"/>
              <w:spacing w:before="20" w:after="20"/>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55寸F200监视器</w:t>
            </w:r>
          </w:p>
        </w:tc>
        <w:tc>
          <w:tcPr>
            <w:tcW w:w="399" w:type="pct"/>
            <w:vAlign w:val="center"/>
          </w:tcPr>
          <w:p w14:paraId="5F8BA07F">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53" w:type="pct"/>
            <w:vAlign w:val="center"/>
          </w:tcPr>
          <w:p w14:paraId="6F34148A">
            <w:pPr>
              <w:autoSpaceDE w:val="0"/>
              <w:autoSpaceDN w:val="0"/>
              <w:adjustRightInd w:val="0"/>
              <w:snapToGrid w:val="0"/>
              <w:spacing w:before="20" w:after="20"/>
              <w:ind w:left="20"/>
              <w:jc w:val="left"/>
              <w:rPr>
                <w:rFonts w:ascii="Times New Roman" w:hAnsi="Times New Roman" w:eastAsia="宋体" w:cs="Times New Roman"/>
                <w:color w:val="000000"/>
                <w:sz w:val="18"/>
                <w:szCs w:val="18"/>
                <w:lang w:eastAsia="en-US"/>
              </w:rPr>
            </w:pPr>
            <w:r>
              <w:rPr>
                <w:rFonts w:ascii="Times New Roman" w:hAnsi="Times New Roman" w:eastAsia="宋体" w:cs="Times New Roman"/>
                <w:color w:val="000000"/>
                <w:sz w:val="18"/>
                <w:szCs w:val="18"/>
                <w:lang w:eastAsia="en-US"/>
              </w:rPr>
              <w:t>面板尺寸：</w:t>
            </w: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lang w:eastAsia="en-US"/>
              </w:rPr>
              <w:t>55英寸；</w:t>
            </w:r>
          </w:p>
          <w:p w14:paraId="2ED9C603">
            <w:pPr>
              <w:autoSpaceDE w:val="0"/>
              <w:autoSpaceDN w:val="0"/>
              <w:adjustRightInd w:val="0"/>
              <w:snapToGrid w:val="0"/>
              <w:spacing w:before="20" w:after="20"/>
              <w:ind w:left="20"/>
              <w:jc w:val="left"/>
              <w:rPr>
                <w:rFonts w:ascii="Times New Roman" w:hAnsi="Times New Roman" w:eastAsia="宋体" w:cs="Times New Roman"/>
                <w:color w:val="000000"/>
                <w:sz w:val="18"/>
                <w:szCs w:val="18"/>
                <w:lang w:eastAsia="en-US"/>
              </w:rPr>
            </w:pPr>
            <w:r>
              <w:rPr>
                <w:rFonts w:ascii="Times New Roman" w:hAnsi="Times New Roman" w:eastAsia="宋体" w:cs="Times New Roman"/>
                <w:color w:val="000000"/>
                <w:sz w:val="18"/>
                <w:szCs w:val="18"/>
                <w:lang w:eastAsia="en-US"/>
              </w:rPr>
              <w:t>亮度：</w:t>
            </w: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lang w:eastAsia="en-US"/>
              </w:rPr>
              <w:t>380cd/m²；</w:t>
            </w:r>
          </w:p>
          <w:p w14:paraId="6CCE1356">
            <w:pPr>
              <w:autoSpaceDE w:val="0"/>
              <w:autoSpaceDN w:val="0"/>
              <w:adjustRightInd w:val="0"/>
              <w:snapToGrid w:val="0"/>
              <w:spacing w:before="20" w:after="20"/>
              <w:ind w:left="20"/>
              <w:jc w:val="left"/>
              <w:rPr>
                <w:rFonts w:ascii="Times New Roman" w:hAnsi="Times New Roman" w:eastAsia="宋体" w:cs="Times New Roman"/>
                <w:color w:val="000000"/>
                <w:sz w:val="18"/>
                <w:szCs w:val="18"/>
                <w:lang w:eastAsia="en-US"/>
              </w:rPr>
            </w:pPr>
            <w:r>
              <w:rPr>
                <w:rFonts w:ascii="Times New Roman" w:hAnsi="Times New Roman" w:eastAsia="宋体" w:cs="Times New Roman"/>
                <w:color w:val="000000"/>
                <w:sz w:val="18"/>
                <w:szCs w:val="18"/>
                <w:lang w:eastAsia="en-US"/>
              </w:rPr>
              <w:t>对比度：</w:t>
            </w: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lang w:eastAsia="en-US"/>
              </w:rPr>
              <w:t>2000：1；</w:t>
            </w:r>
          </w:p>
          <w:p w14:paraId="249E983C">
            <w:pPr>
              <w:autoSpaceDE w:val="0"/>
              <w:autoSpaceDN w:val="0"/>
              <w:adjustRightInd w:val="0"/>
              <w:snapToGrid w:val="0"/>
              <w:spacing w:before="20" w:after="20"/>
              <w:ind w:left="20"/>
              <w:jc w:val="left"/>
              <w:rPr>
                <w:rFonts w:ascii="Times New Roman" w:hAnsi="Times New Roman" w:eastAsia="宋体" w:cs="Times New Roman"/>
                <w:color w:val="000000"/>
                <w:sz w:val="18"/>
                <w:szCs w:val="18"/>
                <w:lang w:eastAsia="en-US"/>
              </w:rPr>
            </w:pPr>
            <w:r>
              <w:rPr>
                <w:rFonts w:ascii="Times New Roman" w:hAnsi="Times New Roman" w:eastAsia="宋体" w:cs="Times New Roman"/>
                <w:color w:val="000000"/>
                <w:sz w:val="18"/>
                <w:szCs w:val="18"/>
                <w:lang w:eastAsia="en-US"/>
              </w:rPr>
              <w:t>安装方式：壁挂；信号输出标配：</w:t>
            </w:r>
            <w:r>
              <w:rPr>
                <w:rFonts w:ascii="Times New Roman" w:hAnsi="Times New Roman" w:eastAsia="宋体" w:cs="Times New Roman"/>
                <w:color w:val="000000"/>
                <w:sz w:val="18"/>
                <w:szCs w:val="18"/>
              </w:rPr>
              <w:t>不少于</w:t>
            </w:r>
            <w:r>
              <w:rPr>
                <w:rFonts w:ascii="Times New Roman" w:hAnsi="Times New Roman" w:eastAsia="宋体" w:cs="Times New Roman"/>
                <w:color w:val="000000"/>
                <w:sz w:val="18"/>
                <w:szCs w:val="18"/>
                <w:lang w:eastAsia="en-US"/>
              </w:rPr>
              <w:t>Coaxial×1、Earphone×1、内置喇叭×2；信号输入标配：HDMI 2.0×3、USB 2.0×1、AV×1、Component×1；支持的分辨率：3840×2160；接警室.用于监控图像显示。</w:t>
            </w:r>
          </w:p>
        </w:tc>
      </w:tr>
      <w:tr w14:paraId="1FC8D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9" w:type="pct"/>
            <w:vAlign w:val="center"/>
          </w:tcPr>
          <w:p w14:paraId="63153652">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sz w:val="20"/>
                <w:szCs w:val="20"/>
              </w:rPr>
              <w:t>13</w:t>
            </w:r>
          </w:p>
        </w:tc>
        <w:tc>
          <w:tcPr>
            <w:tcW w:w="1387" w:type="pct"/>
            <w:vAlign w:val="center"/>
          </w:tcPr>
          <w:p w14:paraId="0E32DF60">
            <w:pPr>
              <w:autoSpaceDE w:val="0"/>
              <w:autoSpaceDN w:val="0"/>
              <w:snapToGrid w:val="0"/>
              <w:spacing w:before="20" w:after="20"/>
              <w:jc w:val="center"/>
              <w:rPr>
                <w:rFonts w:ascii="Times New Roman" w:hAnsi="Times New Roman" w:eastAsia="宋体" w:cs="Times New Roman"/>
                <w:sz w:val="20"/>
                <w:szCs w:val="20"/>
              </w:rPr>
            </w:pPr>
            <w:r>
              <w:rPr>
                <w:rFonts w:ascii="Times New Roman" w:hAnsi="Times New Roman" w:eastAsia="宋体" w:cs="Times New Roman"/>
                <w:color w:val="000000"/>
                <w:sz w:val="18"/>
                <w:szCs w:val="18"/>
              </w:rPr>
              <w:t>二光束主动红外探测器（出警效率）</w:t>
            </w:r>
          </w:p>
        </w:tc>
        <w:tc>
          <w:tcPr>
            <w:tcW w:w="399" w:type="pct"/>
            <w:vAlign w:val="center"/>
          </w:tcPr>
          <w:p w14:paraId="272AC783">
            <w:pPr>
              <w:autoSpaceDE w:val="0"/>
              <w:autoSpaceDN w:val="0"/>
              <w:snapToGrid w:val="0"/>
              <w:spacing w:before="20" w:after="20"/>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1</w:t>
            </w:r>
          </w:p>
        </w:tc>
        <w:tc>
          <w:tcPr>
            <w:tcW w:w="2953" w:type="pct"/>
            <w:vAlign w:val="center"/>
          </w:tcPr>
          <w:p w14:paraId="42C9D686">
            <w:pPr>
              <w:autoSpaceDE w:val="0"/>
              <w:autoSpaceDN w:val="0"/>
              <w:adjustRightInd w:val="0"/>
              <w:snapToGrid w:val="0"/>
              <w:spacing w:before="20" w:after="20"/>
              <w:ind w:left="20"/>
              <w:jc w:val="left"/>
              <w:rPr>
                <w:rFonts w:ascii="Times New Roman" w:hAnsi="Times New Roman" w:eastAsia="宋体" w:cs="Times New Roman"/>
                <w:b/>
                <w:bCs/>
                <w:color w:val="000000"/>
                <w:sz w:val="18"/>
                <w:szCs w:val="18"/>
              </w:rPr>
            </w:pPr>
            <w:r>
              <w:rPr>
                <w:rFonts w:ascii="Times New Roman" w:hAnsi="Times New Roman" w:eastAsia="宋体" w:cs="Times New Roman"/>
                <w:b/>
                <w:bCs/>
                <w:color w:val="000000"/>
                <w:sz w:val="18"/>
                <w:szCs w:val="18"/>
              </w:rPr>
              <w:t>▲双光束；≥60米；</w:t>
            </w:r>
          </w:p>
          <w:p w14:paraId="1C04C2B5">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接警室.用于记录消防车出勤情况。</w:t>
            </w:r>
          </w:p>
        </w:tc>
      </w:tr>
    </w:tbl>
    <w:p w14:paraId="3A71E802">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（三）网络安全及布线相关设备</w:t>
      </w:r>
    </w:p>
    <w:tbl>
      <w:tblPr>
        <w:tblStyle w:val="20"/>
        <w:tblW w:w="50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99"/>
        <w:gridCol w:w="2337"/>
        <w:gridCol w:w="678"/>
        <w:gridCol w:w="4929"/>
      </w:tblGrid>
      <w:tr w14:paraId="5F074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1659D049">
            <w:pPr>
              <w:autoSpaceDE w:val="0"/>
              <w:autoSpaceDN w:val="0"/>
              <w:spacing w:line="360" w:lineRule="auto"/>
              <w:jc w:val="center"/>
              <w:rPr>
                <w:rFonts w:ascii="Times New Roman" w:hAnsi="Times New Roman" w:eastAsia="宋体" w:cs="Times New Roman"/>
                <w:b/>
                <w:bCs/>
                <w:sz w:val="18"/>
                <w:szCs w:val="18"/>
                <w:lang w:eastAsia="en-US"/>
              </w:rPr>
            </w:pPr>
            <w:r>
              <w:rPr>
                <w:rFonts w:ascii="Times New Roman" w:hAnsi="Times New Roman" w:eastAsia="宋体" w:cs="Times New Roman"/>
                <w:b/>
                <w:bCs/>
                <w:sz w:val="18"/>
                <w:szCs w:val="18"/>
                <w:lang w:eastAsia="en-US"/>
              </w:rPr>
              <w:t>序号</w:t>
            </w:r>
          </w:p>
        </w:tc>
        <w:tc>
          <w:tcPr>
            <w:tcW w:w="1400" w:type="pct"/>
            <w:vAlign w:val="center"/>
          </w:tcPr>
          <w:p w14:paraId="4911CF47">
            <w:pPr>
              <w:autoSpaceDE w:val="0"/>
              <w:autoSpaceDN w:val="0"/>
              <w:spacing w:line="360" w:lineRule="auto"/>
              <w:jc w:val="center"/>
              <w:rPr>
                <w:rFonts w:ascii="Times New Roman" w:hAnsi="Times New Roman" w:eastAsia="宋体" w:cs="Times New Roman"/>
                <w:b/>
                <w:bCs/>
                <w:sz w:val="18"/>
                <w:szCs w:val="18"/>
                <w:lang w:eastAsia="en-US"/>
              </w:rPr>
            </w:pPr>
            <w:r>
              <w:rPr>
                <w:rFonts w:ascii="Times New Roman" w:hAnsi="Times New Roman" w:eastAsia="宋体" w:cs="Times New Roman"/>
                <w:b/>
                <w:bCs/>
                <w:sz w:val="18"/>
                <w:szCs w:val="18"/>
                <w:lang w:eastAsia="en-US"/>
              </w:rPr>
              <w:t>货物名称及规格</w:t>
            </w:r>
          </w:p>
        </w:tc>
        <w:tc>
          <w:tcPr>
            <w:tcW w:w="406" w:type="pct"/>
            <w:vAlign w:val="center"/>
          </w:tcPr>
          <w:p w14:paraId="78D588FF">
            <w:pPr>
              <w:autoSpaceDE w:val="0"/>
              <w:autoSpaceDN w:val="0"/>
              <w:spacing w:line="360" w:lineRule="auto"/>
              <w:jc w:val="center"/>
              <w:rPr>
                <w:rFonts w:ascii="Times New Roman" w:hAnsi="Times New Roman" w:eastAsia="宋体" w:cs="Times New Roman"/>
                <w:b/>
                <w:bCs/>
                <w:sz w:val="18"/>
                <w:szCs w:val="18"/>
                <w:lang w:eastAsia="en-US"/>
              </w:rPr>
            </w:pPr>
            <w:r>
              <w:rPr>
                <w:rFonts w:ascii="Times New Roman" w:hAnsi="Times New Roman" w:eastAsia="宋体" w:cs="Times New Roman"/>
                <w:b/>
                <w:bCs/>
                <w:sz w:val="18"/>
                <w:szCs w:val="18"/>
                <w:lang w:eastAsia="en-US"/>
              </w:rPr>
              <w:t>数量</w:t>
            </w:r>
          </w:p>
        </w:tc>
        <w:tc>
          <w:tcPr>
            <w:tcW w:w="2953" w:type="pct"/>
            <w:vAlign w:val="center"/>
          </w:tcPr>
          <w:p w14:paraId="25DB4E45">
            <w:pPr>
              <w:autoSpaceDE w:val="0"/>
              <w:autoSpaceDN w:val="0"/>
              <w:spacing w:line="360" w:lineRule="auto"/>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设备参数</w:t>
            </w:r>
          </w:p>
        </w:tc>
      </w:tr>
      <w:tr w14:paraId="1C78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239" w:type="pct"/>
            <w:vAlign w:val="center"/>
          </w:tcPr>
          <w:p w14:paraId="6641FD02">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sz w:val="20"/>
                <w:szCs w:val="20"/>
                <w:lang w:eastAsia="en-US"/>
              </w:rPr>
              <w:t>1</w:t>
            </w:r>
          </w:p>
        </w:tc>
        <w:tc>
          <w:tcPr>
            <w:tcW w:w="1400" w:type="pct"/>
            <w:vAlign w:val="center"/>
          </w:tcPr>
          <w:p w14:paraId="67474BC5">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下一代防火墙</w:t>
            </w:r>
          </w:p>
        </w:tc>
        <w:tc>
          <w:tcPr>
            <w:tcW w:w="406" w:type="pct"/>
            <w:vAlign w:val="center"/>
          </w:tcPr>
          <w:p w14:paraId="1FC34136">
            <w:pPr>
              <w:widowControl/>
              <w:spacing w:line="360" w:lineRule="auto"/>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18"/>
                <w:szCs w:val="18"/>
                <w:lang w:eastAsia="en-US"/>
              </w:rPr>
              <w:t>3</w:t>
            </w:r>
          </w:p>
        </w:tc>
        <w:tc>
          <w:tcPr>
            <w:tcW w:w="2953" w:type="pct"/>
            <w:vAlign w:val="center"/>
          </w:tcPr>
          <w:p w14:paraId="37DC0AD8">
            <w:pPr>
              <w:widowControl/>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标准1U设备，双交流电源，千兆Combo接口*8，千兆电口*2，万兆光口*2，≥500G硬盘；网络吞吐性能≥5Gbps，最大并发连接数大于400万，每秒新建HTTP连接数大于8万；包含3年入侵防御特征库升级服务、3年含URL过滤特征库升级、3年防病毒特征库升级；最大整机吞吐量5G；最大并发连接数400万；政务外网1台、互联网1台、消防指挥调度网1台。用于政务外网、消防调度网、视频专网、互联网边界安全防护。</w:t>
            </w:r>
          </w:p>
          <w:p w14:paraId="68C9D11C">
            <w:pPr>
              <w:widowControl/>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本产品列入《网络关键设备和网络安全专用产品目录》的产品，应当在国家互联网信息办公室会同工业和信息化部、公安部、国家认证认可监督管理委员会统一公布和更新的符合要求的网络关键设备和网络安全专用产品清单中</w:t>
            </w:r>
          </w:p>
        </w:tc>
      </w:tr>
      <w:tr w14:paraId="0E41B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013DB635">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2</w:t>
            </w:r>
          </w:p>
        </w:tc>
        <w:tc>
          <w:tcPr>
            <w:tcW w:w="1400" w:type="pct"/>
            <w:vAlign w:val="center"/>
          </w:tcPr>
          <w:p w14:paraId="792C70E0">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交换机</w:t>
            </w:r>
          </w:p>
        </w:tc>
        <w:tc>
          <w:tcPr>
            <w:tcW w:w="406" w:type="pct"/>
            <w:vAlign w:val="center"/>
          </w:tcPr>
          <w:p w14:paraId="7400B71A">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color w:val="000000"/>
                <w:sz w:val="18"/>
                <w:szCs w:val="18"/>
                <w:lang w:eastAsia="en-US"/>
              </w:rPr>
              <w:t>3</w:t>
            </w:r>
          </w:p>
        </w:tc>
        <w:tc>
          <w:tcPr>
            <w:tcW w:w="2953" w:type="pct"/>
            <w:vAlign w:val="center"/>
          </w:tcPr>
          <w:p w14:paraId="3D401697">
            <w:pPr>
              <w:autoSpaceDE w:val="0"/>
              <w:autoSpaceDN w:val="0"/>
              <w:adjustRightInd w:val="0"/>
              <w:snapToGrid w:val="0"/>
              <w:spacing w:before="20" w:after="20"/>
              <w:ind w:left="2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24个10/100/1000Base-T以太网端口,4个万兆SFP,交流供电、三层交换机；政务外网1台、互联网1台、消防指挥调度网1台（接16个摄像机、消防视频会议、消防日常数据报送）,用于终端设备的网络接入管理。</w:t>
            </w:r>
          </w:p>
        </w:tc>
      </w:tr>
      <w:tr w14:paraId="2091E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7A809604">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sz w:val="20"/>
                <w:szCs w:val="20"/>
              </w:rPr>
              <w:t>3</w:t>
            </w:r>
          </w:p>
        </w:tc>
        <w:tc>
          <w:tcPr>
            <w:tcW w:w="1400" w:type="pct"/>
            <w:vAlign w:val="center"/>
          </w:tcPr>
          <w:p w14:paraId="43C8D53C">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超五类网线（米）</w:t>
            </w:r>
          </w:p>
        </w:tc>
        <w:tc>
          <w:tcPr>
            <w:tcW w:w="406" w:type="pct"/>
            <w:vAlign w:val="center"/>
          </w:tcPr>
          <w:p w14:paraId="34F8A70E">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3000</w:t>
            </w:r>
          </w:p>
        </w:tc>
        <w:tc>
          <w:tcPr>
            <w:tcW w:w="2953" w:type="pct"/>
            <w:vAlign w:val="center"/>
          </w:tcPr>
          <w:p w14:paraId="4635B59F">
            <w:pPr>
              <w:autoSpaceDE w:val="0"/>
              <w:autoSpaceDN w:val="0"/>
              <w:adjustRightInd w:val="0"/>
              <w:snapToGrid w:val="0"/>
              <w:spacing w:before="20" w:after="20"/>
              <w:ind w:left="2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3EA3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59EA8244">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sz w:val="20"/>
                <w:szCs w:val="20"/>
              </w:rPr>
              <w:t>4</w:t>
            </w:r>
          </w:p>
        </w:tc>
        <w:tc>
          <w:tcPr>
            <w:tcW w:w="1400" w:type="pct"/>
            <w:vAlign w:val="center"/>
          </w:tcPr>
          <w:p w14:paraId="06971AA3">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RVV3*1.5（米）</w:t>
            </w:r>
          </w:p>
        </w:tc>
        <w:tc>
          <w:tcPr>
            <w:tcW w:w="406" w:type="pct"/>
            <w:vAlign w:val="center"/>
          </w:tcPr>
          <w:p w14:paraId="7FAA8EF9">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300</w:t>
            </w:r>
          </w:p>
        </w:tc>
        <w:tc>
          <w:tcPr>
            <w:tcW w:w="2953" w:type="pct"/>
            <w:vAlign w:val="center"/>
          </w:tcPr>
          <w:p w14:paraId="1A3B83DE">
            <w:pPr>
              <w:autoSpaceDE w:val="0"/>
              <w:autoSpaceDN w:val="0"/>
              <w:adjustRightInd w:val="0"/>
              <w:snapToGrid w:val="0"/>
              <w:spacing w:before="20" w:after="20"/>
              <w:ind w:left="2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4CE5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2BD8FE55">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sz w:val="20"/>
                <w:szCs w:val="20"/>
              </w:rPr>
              <w:t>5</w:t>
            </w:r>
          </w:p>
        </w:tc>
        <w:tc>
          <w:tcPr>
            <w:tcW w:w="1400" w:type="pct"/>
            <w:vAlign w:val="center"/>
          </w:tcPr>
          <w:p w14:paraId="694582F2">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JDG爬墙管（米）</w:t>
            </w:r>
          </w:p>
        </w:tc>
        <w:tc>
          <w:tcPr>
            <w:tcW w:w="406" w:type="pct"/>
            <w:vAlign w:val="center"/>
          </w:tcPr>
          <w:p w14:paraId="06AC83E7">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3604.17</w:t>
            </w:r>
          </w:p>
        </w:tc>
        <w:tc>
          <w:tcPr>
            <w:tcW w:w="2953" w:type="pct"/>
            <w:vAlign w:val="center"/>
          </w:tcPr>
          <w:p w14:paraId="1C7C6204">
            <w:pPr>
              <w:autoSpaceDE w:val="0"/>
              <w:autoSpaceDN w:val="0"/>
              <w:adjustRightInd w:val="0"/>
              <w:snapToGrid w:val="0"/>
              <w:spacing w:before="20" w:after="20"/>
              <w:ind w:left="2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579F3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2AE19ECE">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sz w:val="20"/>
                <w:szCs w:val="20"/>
              </w:rPr>
              <w:t>6</w:t>
            </w:r>
          </w:p>
        </w:tc>
        <w:tc>
          <w:tcPr>
            <w:tcW w:w="1400" w:type="pct"/>
            <w:vAlign w:val="center"/>
          </w:tcPr>
          <w:p w14:paraId="661FF0A3">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千兆交换机（台）</w:t>
            </w:r>
          </w:p>
        </w:tc>
        <w:tc>
          <w:tcPr>
            <w:tcW w:w="406" w:type="pct"/>
            <w:vAlign w:val="center"/>
          </w:tcPr>
          <w:p w14:paraId="7EF16483">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1</w:t>
            </w:r>
          </w:p>
        </w:tc>
        <w:tc>
          <w:tcPr>
            <w:tcW w:w="2953" w:type="pct"/>
            <w:vAlign w:val="center"/>
          </w:tcPr>
          <w:p w14:paraId="25CAC2E1">
            <w:pPr>
              <w:autoSpaceDE w:val="0"/>
              <w:autoSpaceDN w:val="0"/>
              <w:adjustRightInd w:val="0"/>
              <w:snapToGrid w:val="0"/>
              <w:spacing w:before="20" w:after="20"/>
              <w:ind w:left="2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76EB2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238DC2A5">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7</w:t>
            </w:r>
          </w:p>
        </w:tc>
        <w:tc>
          <w:tcPr>
            <w:tcW w:w="1400" w:type="pct"/>
            <w:vAlign w:val="center"/>
          </w:tcPr>
          <w:p w14:paraId="12B7B45D">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千兆光收发器（对）</w:t>
            </w:r>
          </w:p>
        </w:tc>
        <w:tc>
          <w:tcPr>
            <w:tcW w:w="406" w:type="pct"/>
            <w:vAlign w:val="center"/>
          </w:tcPr>
          <w:p w14:paraId="765AAD49">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5</w:t>
            </w:r>
          </w:p>
        </w:tc>
        <w:tc>
          <w:tcPr>
            <w:tcW w:w="2953" w:type="pct"/>
            <w:vAlign w:val="center"/>
          </w:tcPr>
          <w:p w14:paraId="7C9832C9">
            <w:pPr>
              <w:autoSpaceDE w:val="0"/>
              <w:autoSpaceDN w:val="0"/>
              <w:adjustRightInd w:val="0"/>
              <w:snapToGrid w:val="0"/>
              <w:spacing w:before="20" w:after="20"/>
              <w:ind w:left="2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4780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71AF36BC">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sz w:val="20"/>
                <w:szCs w:val="20"/>
              </w:rPr>
              <w:t>8</w:t>
            </w:r>
          </w:p>
        </w:tc>
        <w:tc>
          <w:tcPr>
            <w:tcW w:w="1400" w:type="pct"/>
            <w:vAlign w:val="center"/>
          </w:tcPr>
          <w:p w14:paraId="079667F5">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12芯光缆（米）</w:t>
            </w:r>
          </w:p>
        </w:tc>
        <w:tc>
          <w:tcPr>
            <w:tcW w:w="406" w:type="pct"/>
            <w:vAlign w:val="center"/>
          </w:tcPr>
          <w:p w14:paraId="55CE5F63">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1617.96</w:t>
            </w:r>
          </w:p>
        </w:tc>
        <w:tc>
          <w:tcPr>
            <w:tcW w:w="2953" w:type="pct"/>
            <w:vAlign w:val="center"/>
          </w:tcPr>
          <w:p w14:paraId="461ADDD7">
            <w:pPr>
              <w:autoSpaceDE w:val="0"/>
              <w:autoSpaceDN w:val="0"/>
              <w:adjustRightInd w:val="0"/>
              <w:snapToGrid w:val="0"/>
              <w:spacing w:before="20" w:after="20"/>
              <w:ind w:left="2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114CD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2C541258">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sz w:val="20"/>
                <w:szCs w:val="20"/>
              </w:rPr>
              <w:t>9</w:t>
            </w:r>
          </w:p>
        </w:tc>
        <w:tc>
          <w:tcPr>
            <w:tcW w:w="1400" w:type="pct"/>
            <w:vAlign w:val="center"/>
          </w:tcPr>
          <w:p w14:paraId="6B0AF865">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熔接（芯）</w:t>
            </w:r>
          </w:p>
        </w:tc>
        <w:tc>
          <w:tcPr>
            <w:tcW w:w="406" w:type="pct"/>
            <w:vAlign w:val="center"/>
          </w:tcPr>
          <w:p w14:paraId="0BF14A6A">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24</w:t>
            </w:r>
          </w:p>
        </w:tc>
        <w:tc>
          <w:tcPr>
            <w:tcW w:w="2953" w:type="pct"/>
            <w:vAlign w:val="center"/>
          </w:tcPr>
          <w:p w14:paraId="4C73FDD2">
            <w:pPr>
              <w:autoSpaceDE w:val="0"/>
              <w:autoSpaceDN w:val="0"/>
              <w:adjustRightInd w:val="0"/>
              <w:snapToGrid w:val="0"/>
              <w:spacing w:before="20" w:after="20"/>
              <w:ind w:left="2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2902A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0DEEF6EF">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sz w:val="20"/>
                <w:szCs w:val="20"/>
              </w:rPr>
              <w:t>10</w:t>
            </w:r>
          </w:p>
        </w:tc>
        <w:tc>
          <w:tcPr>
            <w:tcW w:w="1400" w:type="pct"/>
            <w:vAlign w:val="center"/>
          </w:tcPr>
          <w:p w14:paraId="254A8192">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尾纤（条）</w:t>
            </w:r>
          </w:p>
        </w:tc>
        <w:tc>
          <w:tcPr>
            <w:tcW w:w="406" w:type="pct"/>
            <w:vAlign w:val="center"/>
          </w:tcPr>
          <w:p w14:paraId="435F4B7B">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24</w:t>
            </w:r>
          </w:p>
        </w:tc>
        <w:tc>
          <w:tcPr>
            <w:tcW w:w="2953" w:type="pct"/>
            <w:vAlign w:val="center"/>
          </w:tcPr>
          <w:p w14:paraId="59072700">
            <w:pPr>
              <w:autoSpaceDE w:val="0"/>
              <w:autoSpaceDN w:val="0"/>
              <w:adjustRightInd w:val="0"/>
              <w:snapToGrid w:val="0"/>
              <w:spacing w:before="20" w:after="20"/>
              <w:ind w:left="2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32522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461BF91A">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sz w:val="20"/>
                <w:szCs w:val="20"/>
              </w:rPr>
              <w:t>11</w:t>
            </w:r>
          </w:p>
        </w:tc>
        <w:tc>
          <w:tcPr>
            <w:tcW w:w="1400" w:type="pct"/>
            <w:vAlign w:val="center"/>
          </w:tcPr>
          <w:p w14:paraId="50C01DC1">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12口终端盒（台）</w:t>
            </w:r>
          </w:p>
        </w:tc>
        <w:tc>
          <w:tcPr>
            <w:tcW w:w="406" w:type="pct"/>
            <w:vAlign w:val="center"/>
          </w:tcPr>
          <w:p w14:paraId="2A0AFCE4">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2</w:t>
            </w:r>
          </w:p>
        </w:tc>
        <w:tc>
          <w:tcPr>
            <w:tcW w:w="2953" w:type="pct"/>
            <w:vAlign w:val="center"/>
          </w:tcPr>
          <w:p w14:paraId="25FB0B14">
            <w:pPr>
              <w:autoSpaceDE w:val="0"/>
              <w:autoSpaceDN w:val="0"/>
              <w:adjustRightInd w:val="0"/>
              <w:snapToGrid w:val="0"/>
              <w:spacing w:before="20" w:after="20"/>
              <w:ind w:left="2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3C62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9" w:type="pct"/>
            <w:vAlign w:val="center"/>
          </w:tcPr>
          <w:p w14:paraId="0ECF71C1">
            <w:pPr>
              <w:autoSpaceDE w:val="0"/>
              <w:autoSpaceDN w:val="0"/>
              <w:spacing w:line="360" w:lineRule="auto"/>
              <w:jc w:val="center"/>
              <w:rPr>
                <w:rFonts w:ascii="Times New Roman" w:hAnsi="Times New Roman" w:eastAsia="宋体" w:cs="Times New Roman"/>
                <w:sz w:val="20"/>
                <w:szCs w:val="20"/>
              </w:rPr>
            </w:pPr>
            <w:r>
              <w:rPr>
                <w:rFonts w:ascii="Times New Roman" w:hAnsi="Times New Roman" w:eastAsia="宋体" w:cs="Times New Roman"/>
                <w:sz w:val="20"/>
                <w:szCs w:val="20"/>
                <w:lang w:eastAsia="en-US"/>
              </w:rPr>
              <w:t>1</w:t>
            </w:r>
            <w:r>
              <w:rPr>
                <w:rFonts w:ascii="Times New Roman" w:hAnsi="Times New Roman" w:eastAsia="宋体" w:cs="Times New Roman"/>
                <w:sz w:val="20"/>
                <w:szCs w:val="20"/>
              </w:rPr>
              <w:t>2</w:t>
            </w:r>
          </w:p>
        </w:tc>
        <w:tc>
          <w:tcPr>
            <w:tcW w:w="1400" w:type="pct"/>
            <w:vAlign w:val="center"/>
          </w:tcPr>
          <w:p w14:paraId="559D1AD7">
            <w:pPr>
              <w:autoSpaceDE w:val="0"/>
              <w:autoSpaceDN w:val="0"/>
              <w:spacing w:line="360" w:lineRule="auto"/>
              <w:jc w:val="center"/>
              <w:rPr>
                <w:rFonts w:ascii="Times New Roman" w:hAnsi="Times New Roman" w:eastAsia="宋体" w:cs="Times New Roman"/>
                <w:sz w:val="20"/>
                <w:szCs w:val="20"/>
                <w:lang w:eastAsia="en-US"/>
              </w:rPr>
            </w:pPr>
            <w:r>
              <w:rPr>
                <w:rFonts w:ascii="Times New Roman" w:hAnsi="Times New Roman" w:eastAsia="宋体" w:cs="Times New Roman"/>
                <w:color w:val="000000"/>
                <w:sz w:val="18"/>
                <w:szCs w:val="18"/>
                <w:lang w:eastAsia="en-US"/>
              </w:rPr>
              <w:t>音视频接插件及线缆</w:t>
            </w:r>
          </w:p>
        </w:tc>
        <w:tc>
          <w:tcPr>
            <w:tcW w:w="406" w:type="pct"/>
            <w:vAlign w:val="center"/>
          </w:tcPr>
          <w:p w14:paraId="17C91D9E">
            <w:pPr>
              <w:autoSpaceDE w:val="0"/>
              <w:autoSpaceDN w:val="0"/>
              <w:spacing w:line="360" w:lineRule="auto"/>
              <w:jc w:val="center"/>
              <w:rPr>
                <w:rFonts w:ascii="Times New Roman" w:hAnsi="Times New Roman" w:eastAsia="宋体" w:cs="Times New Roman"/>
                <w:color w:val="000000"/>
                <w:sz w:val="20"/>
                <w:szCs w:val="20"/>
                <w:lang w:eastAsia="en-US"/>
              </w:rPr>
            </w:pPr>
            <w:r>
              <w:rPr>
                <w:rFonts w:ascii="Times New Roman" w:hAnsi="Times New Roman" w:eastAsia="宋体" w:cs="Times New Roman"/>
                <w:sz w:val="18"/>
                <w:szCs w:val="18"/>
                <w:lang w:eastAsia="en-US"/>
              </w:rPr>
              <w:t>1</w:t>
            </w:r>
          </w:p>
        </w:tc>
        <w:tc>
          <w:tcPr>
            <w:tcW w:w="2953" w:type="pct"/>
            <w:vAlign w:val="center"/>
          </w:tcPr>
          <w:p w14:paraId="65E689C0">
            <w:pPr>
              <w:autoSpaceDE w:val="0"/>
              <w:autoSpaceDN w:val="0"/>
              <w:adjustRightInd w:val="0"/>
              <w:snapToGrid w:val="0"/>
              <w:spacing w:before="20" w:after="20"/>
              <w:ind w:left="20"/>
              <w:jc w:val="left"/>
              <w:rPr>
                <w:rFonts w:ascii="Times New Roman" w:hAnsi="Times New Roman" w:eastAsia="宋体" w:cs="Times New Roman"/>
                <w:sz w:val="18"/>
                <w:szCs w:val="18"/>
              </w:rPr>
            </w:pPr>
            <w:r>
              <w:rPr>
                <w:rFonts w:ascii="Times New Roman" w:hAnsi="Times New Roman" w:eastAsia="宋体" w:cs="Times New Roman"/>
                <w:sz w:val="18"/>
                <w:szCs w:val="18"/>
              </w:rPr>
              <w:t>音箱线100芯规格100米,双芯咪线带屏蔽100米,麦克网卡侬线10米4根,大三芯音频线3米长4根,麦克网卡侬头10个,莲花头10个,麦克网大三芯头10个。</w:t>
            </w:r>
          </w:p>
        </w:tc>
      </w:tr>
    </w:tbl>
    <w:p w14:paraId="0DF1987C">
      <w:pPr>
        <w:spacing w:line="360" w:lineRule="auto"/>
        <w:ind w:firstLine="480" w:firstLineChars="200"/>
        <w:rPr>
          <w:rFonts w:ascii="Times New Roman" w:hAnsi="Times New Roman" w:eastAsia="宋体" w:cs="Times New Roman"/>
          <w:sz w:val="24"/>
          <w:szCs w:val="24"/>
        </w:rPr>
      </w:pPr>
    </w:p>
    <w:p w14:paraId="3493E29C">
      <w:pPr>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二、商务要求</w:t>
      </w:r>
    </w:p>
    <w:p w14:paraId="6CFDACA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1.实施的期限和地点</w:t>
      </w:r>
    </w:p>
    <w:p w14:paraId="6E27EA8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期限：</w:t>
      </w:r>
      <w:r>
        <w:rPr>
          <w:rFonts w:hint="eastAsia" w:ascii="Times New Roman" w:hAnsi="Times New Roman" w:eastAsia="宋体" w:cs="Times New Roman"/>
          <w:sz w:val="24"/>
          <w:szCs w:val="24"/>
        </w:rPr>
        <w:t>签订合同后20天内供货，供货验收后30天内完成安装调试</w:t>
      </w:r>
      <w:r>
        <w:rPr>
          <w:rFonts w:ascii="Times New Roman" w:hAnsi="Times New Roman" w:eastAsia="宋体" w:cs="Times New Roman"/>
          <w:sz w:val="24"/>
          <w:szCs w:val="24"/>
        </w:rPr>
        <w:t>。</w:t>
      </w:r>
    </w:p>
    <w:p w14:paraId="0FED0B0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地点：采购人指定地点</w:t>
      </w:r>
    </w:p>
    <w:p w14:paraId="1DC3CA0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付款条件（进度和方式）</w:t>
      </w:r>
    </w:p>
    <w:p w14:paraId="704B78B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详见 拟签订的合同文本。</w:t>
      </w:r>
    </w:p>
    <w:p w14:paraId="3B2567E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3.质保与售后要求</w:t>
      </w:r>
    </w:p>
    <w:p w14:paraId="2B5DF89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3.1乙方对合同货物的设备质保期为项目验收合格起</w:t>
      </w:r>
      <w:r>
        <w:rPr>
          <w:rFonts w:hint="eastAsia" w:ascii="Times New Roman" w:hAnsi="Times New Roman" w:eastAsia="宋体" w:cs="Times New Roman"/>
          <w:sz w:val="24"/>
          <w:szCs w:val="24"/>
        </w:rPr>
        <w:t>60</w:t>
      </w:r>
      <w:r>
        <w:rPr>
          <w:rFonts w:ascii="Times New Roman" w:hAnsi="Times New Roman" w:eastAsia="宋体" w:cs="Times New Roman"/>
          <w:sz w:val="24"/>
          <w:szCs w:val="24"/>
        </w:rPr>
        <w:t>个月。设备维修维护需乙方提供高清指挥视频终端、视频会议终端、智能物联综合管理平台一体机、智能视频监控一体机、网络交换机等设备的原厂</w:t>
      </w:r>
      <w:r>
        <w:rPr>
          <w:rFonts w:hint="eastAsia" w:ascii="Times New Roman" w:hAnsi="Times New Roman" w:eastAsia="宋体" w:cs="Times New Roman"/>
          <w:sz w:val="24"/>
          <w:szCs w:val="24"/>
        </w:rPr>
        <w:t>5</w:t>
      </w:r>
      <w:r>
        <w:rPr>
          <w:rFonts w:ascii="Times New Roman" w:hAnsi="Times New Roman" w:eastAsia="宋体" w:cs="Times New Roman"/>
          <w:sz w:val="24"/>
          <w:szCs w:val="24"/>
        </w:rPr>
        <w:t>年免费售后维保服务。如遇设备配件停产需原厂出具设备停产证明并提供相应功能的配件。</w:t>
      </w:r>
    </w:p>
    <w:p w14:paraId="4F5F64C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乙方应在设备安装调试完成后10天内组织技术人员对消防站人员开展首次设备功能培训及技术指导。在设备质量保修期内，每季度对设备开展不少于1次常规维护保养测试，并派技术人员到消防救援站进行巡检，对相关装备进行维护保养，对使用人员进行动态培训。如装备存在设计、生产缺陷等质量问题，实行缺陷产品召回制，免费负责维修和更换。</w:t>
      </w:r>
    </w:p>
    <w:p w14:paraId="7B68105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3.3乙方在合同货物的质量保修期内，免费为甲方提供合同货物的技术指导和维修服务的时间是： 每周7天24小时，重大节假日及安保期间以及甲方提出需要技术指导和维修服务要求的时间进行技术服务。</w:t>
      </w:r>
    </w:p>
    <w:p w14:paraId="13EF0EC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3.4乙方保证，在合同货物出现故障和缺陷时或接到甲方提出的技术服务要求后 2 小时内予以答复，如甲方有要求或必要时，乙方应在接到甲方通知后4小时内派员至甲方免费维修和提供现场指导。</w:t>
      </w:r>
    </w:p>
    <w:p w14:paraId="21E0091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3.5如乙方在接到甲方维修通知后4小时仍不能修复有关货物，乙方应无偿提供与该货物同一型号配置不低于该货物且与现有系统兼容的备件等备用货物供甲方使用。每月对设备开展不少于1次维护保养测试，并派技术人员到消防站进行巡检，对相关装备进行维护保养；如装备存在设计、生产缺陷等质量问题，实行缺陷产品召回制，免费负责维修和更换。</w:t>
      </w:r>
    </w:p>
    <w:p w14:paraId="6D7E6CE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3.6如乙方在接到甲方提出的技术服务要求或维修通知后48小时内没有响应、拒绝或没有派员到达甲方提供技术服务、修理或退换货物，甲方有权委托第三人对合同货物进行维修或提供技术服务，因此产生的相关费用由乙方承担。</w:t>
      </w:r>
    </w:p>
    <w:p w14:paraId="4029D21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3.7在设备质保期</w:t>
      </w:r>
      <w:r>
        <w:rPr>
          <w:rFonts w:hint="eastAsia" w:ascii="Times New Roman" w:hAnsi="Times New Roman" w:eastAsia="宋体" w:cs="Times New Roman"/>
          <w:sz w:val="24"/>
          <w:szCs w:val="24"/>
        </w:rPr>
        <w:t>五</w:t>
      </w:r>
      <w:r>
        <w:rPr>
          <w:rFonts w:ascii="Times New Roman" w:hAnsi="Times New Roman" w:eastAsia="宋体" w:cs="Times New Roman"/>
          <w:sz w:val="24"/>
          <w:szCs w:val="24"/>
        </w:rPr>
        <w:t>年内乙方应根据北京总队对设备和软件的升级要求及时免费对甲方设备的软、硬件进行全面升级，保证设备软硬版本的统一性，确保各项功能正常延续使用。</w:t>
      </w:r>
    </w:p>
    <w:p w14:paraId="63535E6A">
      <w:pPr>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三、技术要求</w:t>
      </w:r>
    </w:p>
    <w:p w14:paraId="33F3721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基本要求</w:t>
      </w:r>
    </w:p>
    <w:p w14:paraId="0407CA9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 采购标的需实现的功能或者目标</w:t>
      </w:r>
    </w:p>
    <w:p w14:paraId="3ED807B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重点站区南站地区优化提升信息化配套建设</w:t>
      </w:r>
    </w:p>
    <w:p w14:paraId="2D925AB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1.2 需执行的国家相关标准、行业标准、地方标准或者其他标准、规范</w:t>
      </w:r>
    </w:p>
    <w:p w14:paraId="12CD564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基本要求：保证项目方案覆盖建设单位的全部需求、可落地可实施。质量控制的标准按照《ISO9001：2008 质量管理体系》进行控制。</w:t>
      </w:r>
    </w:p>
    <w:p w14:paraId="0D672E6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 视频会议系统技术要求</w:t>
      </w:r>
    </w:p>
    <w:p w14:paraId="47A94F56">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1.3.1指挥视频终端（基于北京消防总队应急调度网）</w:t>
      </w:r>
    </w:p>
    <w:p w14:paraId="0C977602">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功能要求</w:t>
      </w:r>
    </w:p>
    <w:p w14:paraId="2D3CED42">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——设备架构：分体式或一体式设计；</w:t>
      </w:r>
    </w:p>
    <w:p w14:paraId="52676A91">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——操作系统：嵌入式操作系统；</w:t>
      </w:r>
    </w:p>
    <w:p w14:paraId="531D3BB9">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——分体式设备视频能力：720P30/60fps、1080P30/60fps，可选支持4K30fps；</w:t>
      </w:r>
    </w:p>
    <w:p w14:paraId="0D363D83">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——分体式设备双流能力：主流1080P60fps+双流1080P60fps，可选支持主流4K30fps+双流4K30fps；</w:t>
      </w:r>
    </w:p>
    <w:p w14:paraId="43B9B339">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——控制：支持通过遥控器进行控制；</w:t>
      </w:r>
    </w:p>
    <w:p w14:paraId="31CFE83A">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——支持同时实现多个数据流的传输；</w:t>
      </w:r>
    </w:p>
    <w:p w14:paraId="57CB1698">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——具备共享/传输文档、图片、视频等功能；</w:t>
      </w:r>
    </w:p>
    <w:p w14:paraId="015A2851">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——具备回声抑制功能；</w:t>
      </w:r>
    </w:p>
    <w:p w14:paraId="51FCC9D9">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——支持自主召开视频会议；</w:t>
      </w:r>
    </w:p>
    <w:p w14:paraId="6C8F5B05">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——诊断：支持本地音视频检测；</w:t>
      </w:r>
    </w:p>
    <w:p w14:paraId="2DABE7F4">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——连接状态：接入会议后，支持显示传输速率、编解码协议与码流、丢包率等基本参数；</w:t>
      </w:r>
    </w:p>
    <w:p w14:paraId="288DFE6B">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——画面监看：接入会议后，可以监看本地和远端图像，提供接口监听声音；</w:t>
      </w:r>
    </w:p>
    <w:p w14:paraId="62E3A6D6">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——支持终端本地录像和回放；</w:t>
      </w:r>
    </w:p>
    <w:p w14:paraId="2997A252">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——须与本级本系统多点控制单元无缝对接，稳定运行。</w:t>
      </w:r>
    </w:p>
    <w:p w14:paraId="7DBCC283">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接口要求</w:t>
      </w:r>
    </w:p>
    <w:p w14:paraId="67135403">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——分体式设备支持不少于3路高清视频输入和2路高清视频输出；</w:t>
      </w:r>
    </w:p>
    <w:p w14:paraId="063946D9">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——终端视频输入、视频输出同时支持HDMI、DVI、SDI等高清接口；</w:t>
      </w:r>
    </w:p>
    <w:p w14:paraId="45CB2A00">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——设备音频接口须支持XLR（卡农头）接口或RCA（莲花头）接口；</w:t>
      </w:r>
    </w:p>
    <w:p w14:paraId="63B00414">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——分体式终端支持不少于1个RJ45 10/100/1000Mbit/s自适应网络接口；</w:t>
      </w:r>
    </w:p>
    <w:p w14:paraId="688E1820">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——分体式终端支持RS232串口。</w:t>
      </w:r>
    </w:p>
    <w:p w14:paraId="790C60F7">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协议要求</w:t>
      </w:r>
    </w:p>
    <w:p w14:paraId="7F9A50BE">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——通讯协议：ITU-T H.323、IETF SIP；</w:t>
      </w:r>
    </w:p>
    <w:p w14:paraId="75A46954">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——视频协议：H.264、H.264HP；</w:t>
      </w:r>
    </w:p>
    <w:p w14:paraId="4DE0E5C3">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——音频协议：G.711、G.722、G.722.1、G.729、G.719；</w:t>
      </w:r>
    </w:p>
    <w:p w14:paraId="12AFC60B">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——双流协议：ITU-T H.239、H.239+；</w:t>
      </w:r>
    </w:p>
    <w:p w14:paraId="3057C2D3">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——控制协议：支持H.245协议；</w:t>
      </w:r>
    </w:p>
    <w:p w14:paraId="39D10D58">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——安全与加密：SSL、MD5、DES；</w:t>
      </w:r>
    </w:p>
    <w:p w14:paraId="22656D74">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——网络能力：基于以太网IP协议，支持IPv4和IPv6；</w:t>
      </w:r>
    </w:p>
    <w:p w14:paraId="255C7EC7">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——开放能力：支持API/SDK二次开发及集成。</w:t>
      </w:r>
    </w:p>
    <w:p w14:paraId="1738E486">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1.3.2视频会议终端（基于政务外网）</w:t>
      </w:r>
    </w:p>
    <w:p w14:paraId="58C78C3C">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1.3.2.1功能要求</w:t>
      </w:r>
    </w:p>
    <w:p w14:paraId="62564526">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——设备架构：分体式或一体式设计；</w:t>
      </w:r>
    </w:p>
    <w:p w14:paraId="68888766">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——操作系统：嵌入式操作系统；</w:t>
      </w:r>
    </w:p>
    <w:p w14:paraId="1DB8BB39">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——分体式设备视频能力：720P30/60fps、1080P30/60fps，可选支持4K30fps；</w:t>
      </w:r>
    </w:p>
    <w:p w14:paraId="5C942F96">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——分体式设备双流能力：主流1080P60fps+双流1080P60fps，可选支持主流4K30fps+双流4K30fps；</w:t>
      </w:r>
    </w:p>
    <w:p w14:paraId="43EE7C91">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——控制：支持通过遥控器或者触控平板、WEB界面进行控制；</w:t>
      </w:r>
    </w:p>
    <w:p w14:paraId="748714D7">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——IP双流：支持通过IP有线网络发送双流；</w:t>
      </w:r>
    </w:p>
    <w:p w14:paraId="57CEDBDB">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——具备共享文档、图片、视频等功能；</w:t>
      </w:r>
    </w:p>
    <w:p w14:paraId="23018AB2">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——具备回声抑制功能；</w:t>
      </w:r>
    </w:p>
    <w:p w14:paraId="15F31C63">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——支持自主召开视频会议；</w:t>
      </w:r>
    </w:p>
    <w:p w14:paraId="7ADFA3EE">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——诊断：支持本地音视频检测；</w:t>
      </w:r>
    </w:p>
    <w:p w14:paraId="7FD097C6">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——连接状态：接入会议后，支持显示传输速率、编解码协议与码流、丢包率等基本参数；</w:t>
      </w:r>
    </w:p>
    <w:p w14:paraId="71A88D58">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——画面监看：接入会议后，可以监看本地和远端图像，提供接口监听声音；</w:t>
      </w:r>
    </w:p>
    <w:p w14:paraId="58AD1501">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——支持视频直播和点播；</w:t>
      </w:r>
    </w:p>
    <w:p w14:paraId="342D282E">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——须与本级本系统多点控制单元无缝对接，稳定运行。</w:t>
      </w:r>
    </w:p>
    <w:p w14:paraId="53D72277">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1.3.2.2接口要求</w:t>
      </w:r>
    </w:p>
    <w:p w14:paraId="6E63C6BA">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——分体式设备支持不少于3路高清视频输入和2路高清视频输出；</w:t>
      </w:r>
    </w:p>
    <w:p w14:paraId="5B1524CC">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——终端视频输入、视频输出同时支持HDMI、DVI、SDI等高清接口；</w:t>
      </w:r>
    </w:p>
    <w:p w14:paraId="67209A27">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——设备音频接口须支持XLR（卡农头）接口、RCA（莲花头）接口；</w:t>
      </w:r>
    </w:p>
    <w:p w14:paraId="3232B0DC">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——分体式终端支持不少于2个RJ45 10/100/1000Mbit/s自适应网络接口；</w:t>
      </w:r>
    </w:p>
    <w:p w14:paraId="5390DED7">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——分体式终端支持RS232串口。</w:t>
      </w:r>
    </w:p>
    <w:p w14:paraId="35AFAAE4">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1.3.2.3协议要求</w:t>
      </w:r>
    </w:p>
    <w:p w14:paraId="77FC2E69">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——通讯协议：ITU-T H.323、IETF SIP；</w:t>
      </w:r>
    </w:p>
    <w:p w14:paraId="6251B34D">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——视频协议：H.263、H.264、H.264HP、H.264SVC，选择支持H.265；</w:t>
      </w:r>
    </w:p>
    <w:p w14:paraId="65391C46">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——音频协议：G.711、G.722、G.722.1、AAC-LD，OPUS或SILK；</w:t>
      </w:r>
    </w:p>
    <w:p w14:paraId="014D3C5E">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——双流协议：ITU-T H.239、IETF BFCP；</w:t>
      </w:r>
    </w:p>
    <w:p w14:paraId="5E2EDEF0">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——控制协议：支持H.245协议；</w:t>
      </w:r>
    </w:p>
    <w:p w14:paraId="5FCF5674">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——穿越协议：支持H.460；</w:t>
      </w:r>
    </w:p>
    <w:p w14:paraId="4B3600A0">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——安全与加密：H.235、SIP over TLS、SRTP、AES；</w:t>
      </w:r>
    </w:p>
    <w:p w14:paraId="101706D0">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——网络能力：基于以太网IP协议，支持IPv4和IPv6；</w:t>
      </w:r>
    </w:p>
    <w:p w14:paraId="22BAC079">
      <w:pPr>
        <w:autoSpaceDE w:val="0"/>
        <w:autoSpaceDN w:val="0"/>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——开放能力：支持API/SDK二次开发及集成。</w:t>
      </w:r>
    </w:p>
    <w:p w14:paraId="6A0D0AC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1.4营区视频监控平台技术要求（基于北京总队应急调度网）</w:t>
      </w:r>
    </w:p>
    <w:p w14:paraId="419ECA6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1.4.1组件化</w:t>
      </w:r>
    </w:p>
    <w:p w14:paraId="43FB041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平台应采用组件化搭建方式，各组件可复用，可动态扩展和优化。</w:t>
      </w:r>
    </w:p>
    <w:p w14:paraId="3E08342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1.4.2分布式</w:t>
      </w:r>
    </w:p>
    <w:p w14:paraId="537E53E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平台采用分布式技术，通过将设备分布式化，减小单点故障影响整个平台的可用性。</w:t>
      </w:r>
    </w:p>
    <w:p w14:paraId="14338DB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平台服务器应支持多服务部署，能适应各场景部署要求。</w:t>
      </w:r>
    </w:p>
    <w:p w14:paraId="1A5E62E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有条件可采用双机热备。</w:t>
      </w:r>
    </w:p>
    <w:p w14:paraId="52F3C82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1.4.3统一资源模型</w:t>
      </w:r>
    </w:p>
    <w:p w14:paraId="21EC621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统一设备、人、组织、区域、车辆等资源模型，方便平台集成及数据交换，可对第三方集成及数据使用，提供统一标准。</w:t>
      </w:r>
    </w:p>
    <w:p w14:paraId="4F4EF6D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1.4.4单点登录</w:t>
      </w:r>
    </w:p>
    <w:p w14:paraId="4E4F10C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平台由多个组件构成，访问组件功能需要进行身份认证，平台支持单点登录，一次登录一处使用。支持WEB端、客户端、移动端等多处登录访问平台。支持第三方系统对接登录。</w:t>
      </w:r>
    </w:p>
    <w:p w14:paraId="6CD977C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1.5.5安全性</w:t>
      </w:r>
    </w:p>
    <w:p w14:paraId="4F69D8C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平台web访问应使用https方式，服务只响应守信IP的访问。</w:t>
      </w:r>
    </w:p>
    <w:p w14:paraId="4E2ABD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各组件独立加密，秘钥各自保管，互相隔离。用户密码等高敏感安全数据，存储采用防篡改及不可逆加密算法。</w:t>
      </w:r>
    </w:p>
    <w:p w14:paraId="3617680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1.6.6数据存储技术</w:t>
      </w:r>
    </w:p>
    <w:p w14:paraId="32363E1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平台可采用多种视频存储方式：前端设备存储、嵌入式服务器存储、录像机存储及磁盘阵列存储，多种存储方式可并存。</w:t>
      </w:r>
    </w:p>
    <w:p w14:paraId="4D402A3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1.7.7多线路</w:t>
      </w:r>
    </w:p>
    <w:p w14:paraId="16A71B3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平台通过多线路配置，能够适应多局域网，含有防火墙、网关、网闸隔离的物理网络；亦能适应跨多个隔离网域的更复杂情况。支持端（浏览器、客户端、移动端）、设备在不同的线路访问平台。</w:t>
      </w:r>
    </w:p>
    <w:p w14:paraId="239F5C8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服务内容及要求</w:t>
      </w:r>
    </w:p>
    <w:p w14:paraId="6B2EC4A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2.1网络及信息安全需求</w:t>
      </w:r>
    </w:p>
    <w:p w14:paraId="2764F5A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2.1.1按重点站区管理委员会相关部门要求做好安防系统。</w:t>
      </w:r>
    </w:p>
    <w:p w14:paraId="415A029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2.1.2建设小型消防站视频会议系统，新购置视频指挥终端、视频会议终端，以及视频会议室相关配套设备，实现会议联通、应急调度调度联通，以及小型站内部日常学习授课。</w:t>
      </w:r>
    </w:p>
    <w:p w14:paraId="6637669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2.1.3建设小型消防站营区监控系统，要求与北京消防总队通过应急调度网连接，确保北京总队能够做到远程管理和视频督查。视频存储容量为不低于30天，日常管理工作中数据仅与北京消防总队共享，确实因特殊情况需要查阅的，经审批后可配合调取。</w:t>
      </w:r>
    </w:p>
    <w:p w14:paraId="03FE97D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2.1.4建成后小型消防站指挥视频图像、营区监控图像等所有视频资源，均能实现与北京消防总队互联互通，确保日常调度指挥、视频会议、远程管理及内部开会学习正常运转。</w:t>
      </w:r>
    </w:p>
    <w:p w14:paraId="620B8F6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2.1.5该项目所产生的各类数据一般情况为消防救援队伍内部使用，极特殊情况确有必要的，经申请批准后可调取存档数据。</w:t>
      </w:r>
    </w:p>
    <w:p w14:paraId="0C31871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2.2功能实现需求</w:t>
      </w:r>
    </w:p>
    <w:p w14:paraId="2ECB52D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2.2.1视频会议系统</w:t>
      </w:r>
    </w:p>
    <w:p w14:paraId="09DF9C8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2.2.1.1所建系统应符合《北京消防救援总队视频会议系统建设规范》要求。</w:t>
      </w:r>
    </w:p>
    <w:p w14:paraId="6BDAEBB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2.2.1.2实现基本参加上级单位会议、平级单位内部组会、信号互传等基本功能。</w:t>
      </w:r>
    </w:p>
    <w:p w14:paraId="0BDF66C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2.2.2营区监控系统</w:t>
      </w:r>
    </w:p>
    <w:p w14:paraId="1C402F3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根据《北京消防救援总队营区视频监控系统技术标准》要求小型站营区监控系统应满足以下功能：</w:t>
      </w:r>
    </w:p>
    <w:p w14:paraId="38C4639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2.2.2.1实时视频浏览</w:t>
      </w:r>
    </w:p>
    <w:p w14:paraId="44C3295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应支持按照指定设备进行视频图像的实时浏览，视频实时浏览即为对监控实时画面的浏览，包括基础视频预览、视频参数控制、视图模式的预览，以及对具备云台能力的监控点的实时云台控制。</w:t>
      </w:r>
    </w:p>
    <w:p w14:paraId="2D0C678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2.2.2.2历史视频调阅</w:t>
      </w:r>
    </w:p>
    <w:p w14:paraId="3FC53AC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支持对所属设备及平台存储的视频文件检索和调阅。平台间历史视频调阅时，视频信息源所在的平台应负责所属的历史视频信息的寻址和播放。应支持WEB浏览器和CS客户端两种调阅方式，应支持按录像时间、类型、点位进行查询。</w:t>
      </w:r>
    </w:p>
    <w:p w14:paraId="5243A49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2.2.2.3远程控制</w:t>
      </w:r>
    </w:p>
    <w:p w14:paraId="0740BFE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应支持对可控设备的远程控制。平台间相互控制时，发出控制方要添加控制者的身份，受控方要核验控制者身份并且比较判断不同控制者优先级，支持锁定/解锁机制。</w:t>
      </w:r>
    </w:p>
    <w:p w14:paraId="2122B7F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2.2.2.4存储与管理</w:t>
      </w:r>
    </w:p>
    <w:p w14:paraId="79206AF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实现图像信息的存储采用分布式存储方式，各级平台存储本地的事件图像信息、用户远程回放的录像文件。</w:t>
      </w:r>
    </w:p>
    <w:p w14:paraId="1ABC505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2.2.2.5历史视频下载</w:t>
      </w:r>
    </w:p>
    <w:p w14:paraId="567F1A8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应支持对所属设备及平台存储的视频文件检索和下载。 平台间历史视频文件下载时，视频信息源所在的平台应负责所属的历史频信息的寻址和发送。</w:t>
      </w:r>
    </w:p>
    <w:p w14:paraId="2B8907B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2.2.2.6设备信息查询</w:t>
      </w:r>
    </w:p>
    <w:p w14:paraId="0ED7CF1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应支持按名称、ID、区域等对设备信息查询和检索。</w:t>
      </w:r>
    </w:p>
    <w:p w14:paraId="7F83AB7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2.2.2.7网络校时</w:t>
      </w:r>
    </w:p>
    <w:p w14:paraId="4CAE45A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应支持NTP协议的网络统一校时服务，平台内的IP网络接入设备应支持SIP信令的统一校时。应支持设定校时时钟源，可设置为本地、外部时钟源。应支持自动校时和手动校时。</w:t>
      </w:r>
    </w:p>
    <w:p w14:paraId="4860AED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2.2.2.8图像接入</w:t>
      </w:r>
    </w:p>
    <w:p w14:paraId="1EE115F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具有设备接入、平台级联功能，接受被管理设备、下级平台的注册/注销，向上级管理平台注册/注销。</w:t>
      </w:r>
    </w:p>
    <w:p w14:paraId="37632EF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2.3应用软件需求</w:t>
      </w:r>
    </w:p>
    <w:p w14:paraId="6C24401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2.3.1小型站视频会议终端均为内嵌系统设备与网络连接调试以后即可使用。</w:t>
      </w:r>
    </w:p>
    <w:p w14:paraId="548B06E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2.3.2营区监控系统中所涉及的智能物联综合管理平台一体机内自带管理软件，经设备联网调试后即可使用，无需另购软件。</w:t>
      </w:r>
    </w:p>
    <w:p w14:paraId="606EC6D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2.4基础设施建设方案</w:t>
      </w:r>
    </w:p>
    <w:p w14:paraId="6A90A1C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2.4.1视频会议室综合布线要求：视频会议室的线缆应采用金属管槽暗敷的方式布放，在控制室内应采用金属线槽或设置桥架的方式布放，如需临时在地面铺设线缆，必须使用过桥保护。线槽或管道应保持连续的连接，并在两端应有良好的接地。管道内穿放线缆的截面利用率应小于30%，线槽内布放电缆的截面利用率不应超过50%。</w:t>
      </w:r>
    </w:p>
    <w:p w14:paraId="1E9E005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视频图像传输建议采用HDMI、SDI、VGA线缆或光纤，音频传输建议采用XLR（卡农头）、RCA（莲花头）、HDMI等专业音频或麦克风线缆，信号控制建议采用RJ-45、RS-232线缆。终端、摄像机、麦克风、音响、功放、调音台、矩阵等视频会议设备原则上采用原厂配套线缆连接。需要另配线缆的参考GB/Tl4864，根据实际传输距离要求选择相应的线缆；传输距离超出标准规定的，需增加信号放大器或中继器。</w:t>
      </w:r>
    </w:p>
    <w:p w14:paraId="368BEA5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视频会议室布线整体需遵循YD/T926.1、YD/T926.3，满足实用、美观的原则。弱电信号线应与电源线缆分开走线；遇有跳线、转接线、焊接线等，需确保线缆连接稳固、效果良好。</w:t>
      </w:r>
    </w:p>
    <w:p w14:paraId="0E8F659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2.4.2营区监控系统摄像头点位布置要求：</w:t>
      </w:r>
    </w:p>
    <w:p w14:paraId="5373FDC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根据监控区域的重要程度和应用需求，科学合理的规划图像采集点位设置。点位设置分为公共点位、安防点位、管理点位等。营区内公共区域视频监控覆盖范围应不低于全部区域的90％，须避免监控覆盖生活区域和隐私区域。</w:t>
      </w:r>
    </w:p>
    <w:p w14:paraId="1761D9A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2.4.2.1公共点位</w:t>
      </w:r>
    </w:p>
    <w:p w14:paraId="5D88969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共点位包括门厅（楼门）、楼道、楼梯间、楼梯、对外办公区、执法场所、电梯间、电梯轿厢、顶层平台、影院、会议室、考场、学习室、荣誉室、健身房、餐厅、厨房操作间、充气站、锅炉房、各库房、车库、室外通道、广场、训练场、训练塔等区域，应安装监控摄像机，摄像机数量应满足覆盖要求。</w:t>
      </w:r>
    </w:p>
    <w:p w14:paraId="16BD86F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主要用于各区域的实时视频监控，对目标区域进行图像采集，应根据现场环境、目标特点等，选择适合的枪型摄像机、半球型摄像机或者球型摄像机等。</w:t>
      </w:r>
    </w:p>
    <w:p w14:paraId="1649A2F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①门厅（楼门）</w:t>
      </w:r>
    </w:p>
    <w:p w14:paraId="529CED1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门厅应选用室内固定高清摄像机，安装位置宜在入口（楼门）内正对面或对面角落位置，取景可覆盖入口（楼门）和门厅区域，能对入口（楼门）进出情况进行监控。</w:t>
      </w:r>
    </w:p>
    <w:p w14:paraId="585B683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②楼道</w:t>
      </w:r>
    </w:p>
    <w:p w14:paraId="142E8A9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楼道应选用室内固定高清摄像机，安装于楼道两侧顶端的中间位置，取景可覆盖楼道通行区域，对楼道通行情况进行监控。视情设置摄像机数量。</w:t>
      </w:r>
    </w:p>
    <w:p w14:paraId="463C5AB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③楼梯间</w:t>
      </w:r>
    </w:p>
    <w:p w14:paraId="12B02DE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楼梯间应选用固定（广角）室内高清摄像机，安装于楼梯间出入口（门）正对面或对面角落位置，取景可覆出入口（门）区域，能对楼梯间进出情况进行监控。每层楼梯间应设置1个摄像机。</w:t>
      </w:r>
    </w:p>
    <w:p w14:paraId="69A1A06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④楼梯</w:t>
      </w:r>
    </w:p>
    <w:p w14:paraId="17DECC1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楼梯应选用固定（广角）室内高清摄像机，安装于楼梯拐角处，取景可覆盖相邻上下楼梯区域，能对楼梯通行情况进行监控。每层楼梯应设置1个摄像机。</w:t>
      </w:r>
    </w:p>
    <w:p w14:paraId="138A810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⑤对外办公区域</w:t>
      </w:r>
    </w:p>
    <w:p w14:paraId="0A5D2B1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对外办公区域应选用室内固定高清摄像机，安装于对外办公区公共区域侧边位置，取景可覆盖该区域内重点部位和出入口（门），能对办公区和进出情况进行监控。视情设置摄像机数量。</w:t>
      </w:r>
    </w:p>
    <w:p w14:paraId="41BB4D2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⑥顶层平台</w:t>
      </w:r>
    </w:p>
    <w:p w14:paraId="53B17E1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顶层平台应选用室外高清摄像机，视情选择固定或可控摄像机，安装于平台出入口（门）正对面和平台周边位置，取景可覆盖出入口（门）和平台及周边区域，能对顶层平台区域和进出情况进行监控。视情设置摄像机数量。</w:t>
      </w:r>
    </w:p>
    <w:p w14:paraId="6999128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⑦会议室</w:t>
      </w:r>
    </w:p>
    <w:p w14:paraId="63B037F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会议室应选用室内可控高清摄像机，安装于会议室角落位置，取景可覆盖会议室出入口（门）、参会区域和设备操作台，能对会议室区域及进出情况进行监控。视情设置摄像机数量。</w:t>
      </w:r>
    </w:p>
    <w:p w14:paraId="1E324FC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⑧学习室、荣誉室、健身房、餐厅</w:t>
      </w:r>
    </w:p>
    <w:p w14:paraId="7BA663A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学习室、荣誉室、健身房、餐厅应选用室内固定高清摄像机，安装于角落位置，取景可覆盖出入口（门）、室内活动（就餐）区域，能对室内和进出情况进行监控。视情设置摄像机数量。</w:t>
      </w:r>
    </w:p>
    <w:p w14:paraId="02E37D4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⑨厨房操作间</w:t>
      </w:r>
    </w:p>
    <w:p w14:paraId="404DC57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厨房操作间应选用室内固定高清摄像机，安装于操作间的角落位置，但需远离火源和高温，取景可覆出入口（门）、操作台区域及其它重点部位，能对操作间和进出情况进行监控。视情设置摄像机数量及采用防爆摄像机。</w:t>
      </w:r>
    </w:p>
    <w:p w14:paraId="2608DC4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厨房操作间可选配热成像摄像机或温感设备，对操作间内及设施温度进行实时检测，遇温度超出设定值可实现报警功能。</w:t>
      </w:r>
    </w:p>
    <w:p w14:paraId="5BD9A63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⑩车库</w:t>
      </w:r>
    </w:p>
    <w:p w14:paraId="18D40E0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车库内部应选用室内固定（广角）高清摄像机，至少设置2个以上摄像机，对角线安装于车库两侧角落位置，取景可覆盖车库的车辆人员出入口（门）、通道、车辆停放区域、装备（消防服）放置区域，取景可覆盖车库内车辆、人员出入口（门）、通道、装备（消防服）放置区域，能对车库内情况和进出进行监控。如果有多个独立车库，应每个独立车库至少设置2个摄像机。</w:t>
      </w:r>
    </w:p>
    <w:p w14:paraId="7A59AFE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车库门外应选用室外固定高清摄像机，尽量安装于车库正对面位置，或车库门对面两侧位置（近指挥车或头车），单一摄像机取景可覆盖全部车库门，能对车库门进出车辆情况进行监控。一般只设置1个摄像机。</w:t>
      </w:r>
    </w:p>
    <w:p w14:paraId="79E1683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2.4.2.2安防点位</w:t>
      </w:r>
    </w:p>
    <w:p w14:paraId="6F0944F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安防点位包括档案室、库房、机房等区域，应安装监控摄像机和防范报警设施，满足营区安全防范需求。</w:t>
      </w:r>
    </w:p>
    <w:p w14:paraId="2D28F54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主要用于各区域的实时视频监控和安全防范，根据目标的特点和安全需求确定防范报警设施。 </w:t>
      </w:r>
    </w:p>
    <w:p w14:paraId="49D6027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①档案室</w:t>
      </w:r>
    </w:p>
    <w:p w14:paraId="13827FD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财务室、档案室应采用室内固定智能警戒分析高清摄像机，安装于财务室、档案室门（窗）对面角落位置，取景可覆盖财务室、档案室门（窗）和重点区域，能对进出人员进行抓拍，对非法入侵报警并记录。视情设置摄像机数量。</w:t>
      </w:r>
    </w:p>
    <w:p w14:paraId="7426338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②库房</w:t>
      </w:r>
    </w:p>
    <w:p w14:paraId="6B71D6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库房包括器材库、主副食库等存放物资物品的房间。</w:t>
      </w:r>
    </w:p>
    <w:p w14:paraId="74AC11A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库房应选用室内固定高清摄像机，安装于库房门（窗）对面角落位置，取景可覆盖库房门（窗）和物资物品放置区，能对库房内和进出情况进行监控。视情设置摄像机数量。</w:t>
      </w:r>
    </w:p>
    <w:p w14:paraId="3E76618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有多个同类型库房的应按以上标准分别安装摄像机。</w:t>
      </w:r>
    </w:p>
    <w:p w14:paraId="5C787B1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③机房</w:t>
      </w:r>
    </w:p>
    <w:p w14:paraId="7957D30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机房包括电力机房、通信机房、设备机房等无人值守24小时运行设备的房间。</w:t>
      </w:r>
    </w:p>
    <w:p w14:paraId="6F90604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机房内部应采用室内固定高清摄像机，安装于机房门正对面，取景可覆盖机房门和设备机柜区域，能对进出人员进行抓拍，对非法入侵报警并记录。视情设置摄像机数量。</w:t>
      </w:r>
    </w:p>
    <w:p w14:paraId="01BF57C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机房可选配热成像摄像机或温感设备，对机房内及设备温度进行实时检测，遇温度超出设定值可实现报警功能。</w:t>
      </w:r>
    </w:p>
    <w:p w14:paraId="05751CC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2.4.2.3管理点位</w:t>
      </w:r>
    </w:p>
    <w:p w14:paraId="1422688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管理点位包括营区院门、岗亭、通信室（接警室）等区域。通过前端布置智能分析摄像机，配合平台智能分析组件，对车辆（人员）进出、值守人远离（返）岗、集中训练、人员备防进行智能管理。</w:t>
      </w:r>
    </w:p>
    <w:p w14:paraId="322973F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①营区院门</w:t>
      </w:r>
    </w:p>
    <w:p w14:paraId="1F42F95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营区院门应采用出入口管理摄像机或停车场摄像机，安装于营区院门或车辆进出必经处，取景可覆盖车辆（人员）出入区域，能对进出车辆号牌（人员）识别、抓拍图像或视频，并记录进出时间。</w:t>
      </w:r>
    </w:p>
    <w:p w14:paraId="7A708F1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②岗亭、通信室（接警室）</w:t>
      </w:r>
    </w:p>
    <w:p w14:paraId="38D6B40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岗亭、通信室（接警室）应采用智能分析摄像机，安装在岗亭正对面和工位附近，取景可覆盖整个值守区域（通信室须避免对生活区域取景），能对值守人员离（返）岗进行自动监测和报警。岗亭正对面摄像机安装位置较远或不佳时，须在岗亭内增加安装监控摄像机。</w:t>
      </w:r>
    </w:p>
    <w:p w14:paraId="3D33C84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2.4.2.4人员点名点位</w:t>
      </w:r>
    </w:p>
    <w:p w14:paraId="28D01E0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在营区内设置人员点名区域（室内或室外），该区域可容纳全部备防人员。人员点名采用智能识别分析摄像机和相关设施，安装于人员集结正对面，能对备防人员行进识别和清点。该点位可作为试点应用设置。</w:t>
      </w:r>
    </w:p>
    <w:p w14:paraId="055F82E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2.4.2.5其它点位</w:t>
      </w:r>
    </w:p>
    <w:p w14:paraId="6E3BBDE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其它本单位认为需要设置的点位，采用的摄像机、安装位置、取景覆盖和监控作用参考相似点位标准。</w:t>
      </w:r>
    </w:p>
    <w:p w14:paraId="70E5C6B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2.4.2.6全国图像综合平台接入点位</w:t>
      </w:r>
    </w:p>
    <w:p w14:paraId="7E29F76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至少车库门外、通信室（接警室）、考场等点位应接入本支队消防图像综合平台，并转发至总队、部局。车库门外、通信室（指挥中心）点位应与接处警系统联动。</w:t>
      </w:r>
    </w:p>
    <w:p w14:paraId="36DB3AA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2.4.2.7基本要求</w:t>
      </w:r>
    </w:p>
    <w:p w14:paraId="2622F18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宜借助地理信息定位等辅助计算工具，实现图像采集点的点、线、面合理覆盖。</w:t>
      </w:r>
    </w:p>
    <w:p w14:paraId="14942FC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对同一目标进行监视时，应充分考虑与已有图像采集点的复用，避免重复建设，保证原有像机能无缝对接新的系统，降低成本，减少资源浪费。</w:t>
      </w:r>
    </w:p>
    <w:p w14:paraId="3DE3A2A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图像采集点的设置应综合考虑环境等因素，布设在有利于摄取目标图像的位置，视野范围满足监视的要求。</w:t>
      </w:r>
    </w:p>
    <w:p w14:paraId="650DFA6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应能清晰显示目标的特征。宜采用多点位设置方案，对目标进行多角度观察。</w:t>
      </w:r>
    </w:p>
    <w:p w14:paraId="0B69D18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应考虑到监控目标的特殊需求，采集点可应用智能采集等功能。</w:t>
      </w:r>
    </w:p>
    <w:p w14:paraId="42C3834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应设置在目标区域附近不易受外界损伤的位置，设置位置不应影响现场设备运行和人员正常活动。</w:t>
      </w:r>
    </w:p>
    <w:p w14:paraId="2ED04A9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摄像机安装位置应尽量避开逆光、强电场、强磁场、易发生火灾、潮湿、易遭受雷击和重度环境污染等区域。当无法避开时，应采用相应的技术保护措施。</w:t>
      </w:r>
    </w:p>
    <w:p w14:paraId="1CCDC17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前端设备安装应平稳、牢固、便于操作维护。如采用立杆安装，立杆应遵循GB 51158、YD 5148等国家现行相关标准的规定。</w:t>
      </w:r>
    </w:p>
    <w:p w14:paraId="390AC4D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采用高清视频监控技术，实现视频图像信息的高清采集、高清编码、高清传输、高清存储、高清显示。接入已建的点位应不低于1280*720P，像素不应低于130万像素；新建点位分辨率应不低于1920*1080P，像素不应低于200万像素。</w:t>
      </w:r>
    </w:p>
    <w:p w14:paraId="4354F56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摄像机应基于IP网络传输技术，提供视频监控的联网功能，实现全网调度、管理及智能化应用。</w:t>
      </w:r>
    </w:p>
    <w:p w14:paraId="71B5E9D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对前端摄像机供电方式应采用电源适配器模式，视情采用POE的方式供电。集中供电时应配置配电箱。</w:t>
      </w:r>
    </w:p>
    <w:p w14:paraId="185C0C5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3.采购与安装要求</w:t>
      </w:r>
    </w:p>
    <w:p w14:paraId="5D85411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3.1乙方所提供的以上设备均包含运输、安装、调试、培训所产生</w:t>
      </w:r>
      <w:bookmarkStart w:id="13" w:name="_GoBack"/>
      <w:bookmarkEnd w:id="13"/>
      <w:r>
        <w:rPr>
          <w:rFonts w:ascii="Times New Roman" w:hAnsi="Times New Roman" w:eastAsia="宋体" w:cs="Times New Roman"/>
          <w:sz w:val="24"/>
          <w:szCs w:val="24"/>
        </w:rPr>
        <w:t>的人工及各类零配件采购费用，安装过程中不应出现任何其他费用。</w:t>
      </w:r>
    </w:p>
    <w:p w14:paraId="4DAE1BE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乙方所提供设备要包含相对应的软件系统，并确保能够与北京消防总队网络及系统匹配，确保所有设备按招标文件要求能实现预期功能。如因设备型号或软件系统不匹配或功能不完备，导致更换产品型号、其他专业人员维护安装等情况发生时，产生的一切相关费用及损失由乙方承担。</w:t>
      </w:r>
    </w:p>
    <w:p w14:paraId="61C8092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3.3所有采购的设备及安装标准均需严格按照有关政策文件及技术标准执行，包括但不限于:1. 《北京消防救援总队视频会议系统建设规范》，2.《北京市消防救援总队营区视频监控系统技术标准》，3.《北京市消防救援总队消防救援站通信室实战能力提升工程实施方案》4.《首都消防救援队伍正规化建设规范(试行)》,5.《视频监控系统执行标准》GB/T·28281-2022，6.国家相关法律法规及政策文件。如招标文件及响应文件与以上标准相悖的，以国家及总队的规范为准。</w:t>
      </w:r>
    </w:p>
    <w:p w14:paraId="135C33D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3.4设备安装人员必须有相应的从业资格。安装期间的安全问题由乙方负责（包括人员安全、安装安全等），并签署安全责任书，如在作业期间产生任何安全问题造成人员及经济损失，由乙方承担全部责任。</w:t>
      </w:r>
    </w:p>
    <w:p w14:paraId="1347B64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3.5供应商须按甲方要求做好室内布线，确保设备安装合理，效果整洁美观。</w:t>
      </w:r>
    </w:p>
    <w:p w14:paraId="034F734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3.6本次预算包含全部所需费用，设备清单中未列明的五金等不好统计数量的零星配件，以及设备运行所必需的应用软件，均包含在本次预算范围内。</w:t>
      </w:r>
    </w:p>
    <w:p w14:paraId="07D9EE8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4.收货与验收</w:t>
      </w:r>
    </w:p>
    <w:p w14:paraId="530DCEC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4.1收货地点：北京市南站地区小型消防站</w:t>
      </w:r>
    </w:p>
    <w:p w14:paraId="547B233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4.2验收方式：采取货物验收和功能验收相结合的方式。乙方应采购符合国家质量标准的设备。货物到齐后，甲方组织相关人员对采购物品的数量及质量确认无问题后，视为货物验收。验收合格后，乙方可进行安装。设备安装调试后，甲方对设备进行首次功能验收。首次验收无问题后的60天内为试运行阶段，试运行期结束后未发现使用问题的，视为验收正式合格。</w:t>
      </w:r>
    </w:p>
    <w:p w14:paraId="168AD8CF">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bookmarkStart w:id="12" w:name="_Hlk202796363"/>
      <w:r>
        <w:rPr>
          <w:rFonts w:ascii="Times New Roman" w:hAnsi="Times New Roman" w:eastAsia="宋体" w:cs="Times New Roman"/>
          <w:b/>
          <w:bCs/>
          <w:sz w:val="24"/>
          <w:szCs w:val="24"/>
        </w:rPr>
        <w:t>四、本项目采购标的所属行业</w:t>
      </w:r>
    </w:p>
    <w:p w14:paraId="135F486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本项目采购标的属于《工业和信息化部、国家统计局、国家发展和改革委员会、财政部关于印发中小企业划型标准规定的通知》（工信部联企业[2011]300号）中的</w:t>
      </w:r>
      <w:r>
        <w:rPr>
          <w:rFonts w:ascii="Times New Roman" w:hAnsi="Times New Roman" w:eastAsia="宋体" w:cs="Times New Roman"/>
          <w:b/>
          <w:bCs/>
          <w:sz w:val="24"/>
          <w:szCs w:val="24"/>
        </w:rPr>
        <w:t>（二）工业。</w:t>
      </w:r>
    </w:p>
    <w:p w14:paraId="287A45F5">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五、本项目不专门面向中小企业采购</w:t>
      </w:r>
    </w:p>
    <w:bookmarkEnd w:id="12"/>
    <w:p w14:paraId="49B5036D">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14:paraId="49CEB7E4">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BDD0761">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Y2MyYzJiMTAyYjc1MWY1ZGRjZDllZGEyMzQ4ODcifQ=="/>
  </w:docVars>
  <w:rsids>
    <w:rsidRoot w:val="00520E97"/>
    <w:rsid w:val="00044E8F"/>
    <w:rsid w:val="00074CBF"/>
    <w:rsid w:val="0009538C"/>
    <w:rsid w:val="000A1BD7"/>
    <w:rsid w:val="000E0381"/>
    <w:rsid w:val="001223B9"/>
    <w:rsid w:val="00147E89"/>
    <w:rsid w:val="0015496D"/>
    <w:rsid w:val="00196B90"/>
    <w:rsid w:val="001B10D6"/>
    <w:rsid w:val="001B1D26"/>
    <w:rsid w:val="001E2E34"/>
    <w:rsid w:val="001F0071"/>
    <w:rsid w:val="00207852"/>
    <w:rsid w:val="00211A42"/>
    <w:rsid w:val="00221F42"/>
    <w:rsid w:val="00236ED5"/>
    <w:rsid w:val="002458D2"/>
    <w:rsid w:val="002755B2"/>
    <w:rsid w:val="00286DDD"/>
    <w:rsid w:val="002B303F"/>
    <w:rsid w:val="002B394E"/>
    <w:rsid w:val="002D57FA"/>
    <w:rsid w:val="00312284"/>
    <w:rsid w:val="00323DAF"/>
    <w:rsid w:val="003261C0"/>
    <w:rsid w:val="0033248C"/>
    <w:rsid w:val="003764BA"/>
    <w:rsid w:val="00386B7C"/>
    <w:rsid w:val="003A55F5"/>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23445"/>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46CD9"/>
    <w:rsid w:val="009A4BF0"/>
    <w:rsid w:val="00A2730B"/>
    <w:rsid w:val="00A31375"/>
    <w:rsid w:val="00A32B9C"/>
    <w:rsid w:val="00A376F4"/>
    <w:rsid w:val="00A748B8"/>
    <w:rsid w:val="00A80EB3"/>
    <w:rsid w:val="00AA0248"/>
    <w:rsid w:val="00AB445B"/>
    <w:rsid w:val="00AC1BB6"/>
    <w:rsid w:val="00AD2DC7"/>
    <w:rsid w:val="00AE3580"/>
    <w:rsid w:val="00AE4CF9"/>
    <w:rsid w:val="00AF5C30"/>
    <w:rsid w:val="00B12352"/>
    <w:rsid w:val="00B23735"/>
    <w:rsid w:val="00B6453A"/>
    <w:rsid w:val="00B66B3D"/>
    <w:rsid w:val="00B85E46"/>
    <w:rsid w:val="00BB1F96"/>
    <w:rsid w:val="00BF4C2C"/>
    <w:rsid w:val="00C028DD"/>
    <w:rsid w:val="00C1611B"/>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2943"/>
    <w:rsid w:val="00EA5DF2"/>
    <w:rsid w:val="00EC163F"/>
    <w:rsid w:val="00ED258F"/>
    <w:rsid w:val="00ED3BD8"/>
    <w:rsid w:val="00ED4759"/>
    <w:rsid w:val="00EF5B38"/>
    <w:rsid w:val="00F6103C"/>
    <w:rsid w:val="00FA63AD"/>
    <w:rsid w:val="00FB123F"/>
    <w:rsid w:val="00FC36DF"/>
    <w:rsid w:val="00FC6773"/>
    <w:rsid w:val="00FC6F40"/>
    <w:rsid w:val="00FE0E8A"/>
    <w:rsid w:val="00FE4BD7"/>
    <w:rsid w:val="00FF6F46"/>
    <w:rsid w:val="02297BE6"/>
    <w:rsid w:val="024141DC"/>
    <w:rsid w:val="028D5673"/>
    <w:rsid w:val="02B81FC4"/>
    <w:rsid w:val="02DA4630"/>
    <w:rsid w:val="0305336A"/>
    <w:rsid w:val="035E0DBD"/>
    <w:rsid w:val="03797EFC"/>
    <w:rsid w:val="042608F2"/>
    <w:rsid w:val="0490190F"/>
    <w:rsid w:val="04F62D89"/>
    <w:rsid w:val="04FF3EDA"/>
    <w:rsid w:val="05FD2B10"/>
    <w:rsid w:val="065165EA"/>
    <w:rsid w:val="06B84730"/>
    <w:rsid w:val="07017D69"/>
    <w:rsid w:val="07131EBF"/>
    <w:rsid w:val="07A83AD6"/>
    <w:rsid w:val="08193D4A"/>
    <w:rsid w:val="083A2978"/>
    <w:rsid w:val="08D76038"/>
    <w:rsid w:val="08EE4992"/>
    <w:rsid w:val="08FB30C1"/>
    <w:rsid w:val="093920B1"/>
    <w:rsid w:val="095D5673"/>
    <w:rsid w:val="09E93FA5"/>
    <w:rsid w:val="09EE2822"/>
    <w:rsid w:val="0A4505E1"/>
    <w:rsid w:val="0AFB3396"/>
    <w:rsid w:val="0B13539B"/>
    <w:rsid w:val="0B24315C"/>
    <w:rsid w:val="0B4B1C27"/>
    <w:rsid w:val="0B8B4697"/>
    <w:rsid w:val="0BBE5ACA"/>
    <w:rsid w:val="0D7F6194"/>
    <w:rsid w:val="0D9C38D3"/>
    <w:rsid w:val="0E1C10D1"/>
    <w:rsid w:val="0E455054"/>
    <w:rsid w:val="0E653000"/>
    <w:rsid w:val="0E6A782F"/>
    <w:rsid w:val="0EB21FBD"/>
    <w:rsid w:val="0F900551"/>
    <w:rsid w:val="0F956437"/>
    <w:rsid w:val="0FC30926"/>
    <w:rsid w:val="0FF07438"/>
    <w:rsid w:val="102A2753"/>
    <w:rsid w:val="1102547E"/>
    <w:rsid w:val="11592BC4"/>
    <w:rsid w:val="11F76764"/>
    <w:rsid w:val="12096398"/>
    <w:rsid w:val="12957C2C"/>
    <w:rsid w:val="12F64B6E"/>
    <w:rsid w:val="135B70C7"/>
    <w:rsid w:val="13C335A6"/>
    <w:rsid w:val="13DA4490"/>
    <w:rsid w:val="13DD188A"/>
    <w:rsid w:val="13E56991"/>
    <w:rsid w:val="14186D67"/>
    <w:rsid w:val="142D2812"/>
    <w:rsid w:val="145D29CB"/>
    <w:rsid w:val="145E6E6F"/>
    <w:rsid w:val="14E54E9B"/>
    <w:rsid w:val="152B6F63"/>
    <w:rsid w:val="15710EAB"/>
    <w:rsid w:val="159D2FDE"/>
    <w:rsid w:val="15A703A2"/>
    <w:rsid w:val="16021E0B"/>
    <w:rsid w:val="16224EBA"/>
    <w:rsid w:val="1658458D"/>
    <w:rsid w:val="17013AE2"/>
    <w:rsid w:val="177666A9"/>
    <w:rsid w:val="17AE5249"/>
    <w:rsid w:val="17C50C19"/>
    <w:rsid w:val="17D86F39"/>
    <w:rsid w:val="1803076B"/>
    <w:rsid w:val="18B9726D"/>
    <w:rsid w:val="18C63235"/>
    <w:rsid w:val="194A1770"/>
    <w:rsid w:val="196C776F"/>
    <w:rsid w:val="19785E3F"/>
    <w:rsid w:val="1983388C"/>
    <w:rsid w:val="199E7D0E"/>
    <w:rsid w:val="19CD414F"/>
    <w:rsid w:val="19F05C83"/>
    <w:rsid w:val="1A4A39F2"/>
    <w:rsid w:val="1A772A39"/>
    <w:rsid w:val="1AB84DFF"/>
    <w:rsid w:val="1ABD2416"/>
    <w:rsid w:val="1AC23018"/>
    <w:rsid w:val="1AC437A4"/>
    <w:rsid w:val="1ADA6B24"/>
    <w:rsid w:val="1B1F09DB"/>
    <w:rsid w:val="1C0D4CD7"/>
    <w:rsid w:val="1C8B3935"/>
    <w:rsid w:val="1D230C56"/>
    <w:rsid w:val="1D491D3F"/>
    <w:rsid w:val="1D515A43"/>
    <w:rsid w:val="1D7019C1"/>
    <w:rsid w:val="1DE62D5A"/>
    <w:rsid w:val="1DFD5937"/>
    <w:rsid w:val="1E2D1660"/>
    <w:rsid w:val="1E5A19E3"/>
    <w:rsid w:val="1E9B2A6E"/>
    <w:rsid w:val="1EE6018D"/>
    <w:rsid w:val="1F374545"/>
    <w:rsid w:val="1F3F789D"/>
    <w:rsid w:val="1F845C08"/>
    <w:rsid w:val="1FA4490C"/>
    <w:rsid w:val="200A3516"/>
    <w:rsid w:val="201A3F23"/>
    <w:rsid w:val="203527EC"/>
    <w:rsid w:val="204C2272"/>
    <w:rsid w:val="20A83220"/>
    <w:rsid w:val="21535F4C"/>
    <w:rsid w:val="21A70497"/>
    <w:rsid w:val="220821C8"/>
    <w:rsid w:val="22477195"/>
    <w:rsid w:val="224A27E1"/>
    <w:rsid w:val="226513C9"/>
    <w:rsid w:val="23287787"/>
    <w:rsid w:val="23614286"/>
    <w:rsid w:val="23616767"/>
    <w:rsid w:val="241067BD"/>
    <w:rsid w:val="241412F8"/>
    <w:rsid w:val="242228F9"/>
    <w:rsid w:val="24B403E6"/>
    <w:rsid w:val="24C11F9C"/>
    <w:rsid w:val="24DD6DCC"/>
    <w:rsid w:val="250F38DA"/>
    <w:rsid w:val="257F6C45"/>
    <w:rsid w:val="25902C01"/>
    <w:rsid w:val="25C3724F"/>
    <w:rsid w:val="25F51927"/>
    <w:rsid w:val="261A311D"/>
    <w:rsid w:val="26C57ECF"/>
    <w:rsid w:val="27007912"/>
    <w:rsid w:val="284D6B87"/>
    <w:rsid w:val="28603A8A"/>
    <w:rsid w:val="28902F18"/>
    <w:rsid w:val="28CB21A2"/>
    <w:rsid w:val="28D64DCE"/>
    <w:rsid w:val="28DE1ED5"/>
    <w:rsid w:val="291D29FD"/>
    <w:rsid w:val="292C49EE"/>
    <w:rsid w:val="29333183"/>
    <w:rsid w:val="297E7214"/>
    <w:rsid w:val="299E3412"/>
    <w:rsid w:val="2A4B5348"/>
    <w:rsid w:val="2A5E1D27"/>
    <w:rsid w:val="2A756869"/>
    <w:rsid w:val="2BA5214F"/>
    <w:rsid w:val="2BB00137"/>
    <w:rsid w:val="2BE21CDC"/>
    <w:rsid w:val="2BF043F9"/>
    <w:rsid w:val="2C09185D"/>
    <w:rsid w:val="2C624BCB"/>
    <w:rsid w:val="2D917516"/>
    <w:rsid w:val="2E474078"/>
    <w:rsid w:val="2EB931C8"/>
    <w:rsid w:val="2ED27DE6"/>
    <w:rsid w:val="2F0F2DE8"/>
    <w:rsid w:val="2F5527C5"/>
    <w:rsid w:val="2FBB2F70"/>
    <w:rsid w:val="2FFB511A"/>
    <w:rsid w:val="303D1BD7"/>
    <w:rsid w:val="3047426A"/>
    <w:rsid w:val="30CE0A81"/>
    <w:rsid w:val="30D616E4"/>
    <w:rsid w:val="310D7ED8"/>
    <w:rsid w:val="311F308B"/>
    <w:rsid w:val="31C85DFF"/>
    <w:rsid w:val="32C43EEA"/>
    <w:rsid w:val="33457039"/>
    <w:rsid w:val="33B57CD6"/>
    <w:rsid w:val="33FC76B3"/>
    <w:rsid w:val="3442156A"/>
    <w:rsid w:val="346906DB"/>
    <w:rsid w:val="34B50CBD"/>
    <w:rsid w:val="34DE5E29"/>
    <w:rsid w:val="35246EC1"/>
    <w:rsid w:val="356E638F"/>
    <w:rsid w:val="36186CF3"/>
    <w:rsid w:val="36883480"/>
    <w:rsid w:val="36EB75BC"/>
    <w:rsid w:val="36F5510A"/>
    <w:rsid w:val="37106F10"/>
    <w:rsid w:val="37520DFE"/>
    <w:rsid w:val="37584D1F"/>
    <w:rsid w:val="3768578B"/>
    <w:rsid w:val="376B0DD8"/>
    <w:rsid w:val="37856C5C"/>
    <w:rsid w:val="37BE35FD"/>
    <w:rsid w:val="37EE37B7"/>
    <w:rsid w:val="38241F15"/>
    <w:rsid w:val="384653A1"/>
    <w:rsid w:val="384A5821"/>
    <w:rsid w:val="387C260E"/>
    <w:rsid w:val="390F151C"/>
    <w:rsid w:val="391A2AB5"/>
    <w:rsid w:val="394F0285"/>
    <w:rsid w:val="397321C6"/>
    <w:rsid w:val="39890589"/>
    <w:rsid w:val="39D65BFA"/>
    <w:rsid w:val="3AAB3FD3"/>
    <w:rsid w:val="3AD4138A"/>
    <w:rsid w:val="3ADA6C48"/>
    <w:rsid w:val="3AF811CC"/>
    <w:rsid w:val="3B183024"/>
    <w:rsid w:val="3B9D36FF"/>
    <w:rsid w:val="3CD92605"/>
    <w:rsid w:val="3D1B504E"/>
    <w:rsid w:val="3D4C01F7"/>
    <w:rsid w:val="3D7604D6"/>
    <w:rsid w:val="3D830958"/>
    <w:rsid w:val="3DAA0180"/>
    <w:rsid w:val="3DAE7C70"/>
    <w:rsid w:val="3DB85A64"/>
    <w:rsid w:val="3DF00B18"/>
    <w:rsid w:val="3E3F4D6C"/>
    <w:rsid w:val="3E5F40AD"/>
    <w:rsid w:val="3E774506"/>
    <w:rsid w:val="3EE14075"/>
    <w:rsid w:val="3EF5367D"/>
    <w:rsid w:val="3F28654A"/>
    <w:rsid w:val="3F8F3AD1"/>
    <w:rsid w:val="3FA251E6"/>
    <w:rsid w:val="3FB86B84"/>
    <w:rsid w:val="401D2E8B"/>
    <w:rsid w:val="403D352D"/>
    <w:rsid w:val="40C15F0C"/>
    <w:rsid w:val="40D37F31"/>
    <w:rsid w:val="414F6F99"/>
    <w:rsid w:val="41596145"/>
    <w:rsid w:val="41731A1B"/>
    <w:rsid w:val="41A970CC"/>
    <w:rsid w:val="41CE268F"/>
    <w:rsid w:val="41D25C46"/>
    <w:rsid w:val="42154762"/>
    <w:rsid w:val="424A65BE"/>
    <w:rsid w:val="425A03C6"/>
    <w:rsid w:val="42826238"/>
    <w:rsid w:val="42F51E9D"/>
    <w:rsid w:val="430B5AB0"/>
    <w:rsid w:val="43D877F5"/>
    <w:rsid w:val="43F75D01"/>
    <w:rsid w:val="443F7874"/>
    <w:rsid w:val="44550E45"/>
    <w:rsid w:val="44692510"/>
    <w:rsid w:val="448C05DF"/>
    <w:rsid w:val="449A0F4E"/>
    <w:rsid w:val="452B604A"/>
    <w:rsid w:val="452C07F0"/>
    <w:rsid w:val="4537679D"/>
    <w:rsid w:val="457B0D80"/>
    <w:rsid w:val="458D460F"/>
    <w:rsid w:val="45A92F06"/>
    <w:rsid w:val="45C97502"/>
    <w:rsid w:val="45F25354"/>
    <w:rsid w:val="461865CE"/>
    <w:rsid w:val="465B110E"/>
    <w:rsid w:val="46BB51AC"/>
    <w:rsid w:val="46EA5025"/>
    <w:rsid w:val="46EC35B7"/>
    <w:rsid w:val="478D4316"/>
    <w:rsid w:val="4792415F"/>
    <w:rsid w:val="47D56826"/>
    <w:rsid w:val="47FE2202"/>
    <w:rsid w:val="48376AB4"/>
    <w:rsid w:val="48CE400C"/>
    <w:rsid w:val="48D569F9"/>
    <w:rsid w:val="48FC21D7"/>
    <w:rsid w:val="4928211D"/>
    <w:rsid w:val="49D15412"/>
    <w:rsid w:val="49D87DE7"/>
    <w:rsid w:val="49D90544"/>
    <w:rsid w:val="4A0D5D1E"/>
    <w:rsid w:val="4A134927"/>
    <w:rsid w:val="4A38723F"/>
    <w:rsid w:val="4AB84D51"/>
    <w:rsid w:val="4AE44CD1"/>
    <w:rsid w:val="4B1D01E3"/>
    <w:rsid w:val="4B3A0D95"/>
    <w:rsid w:val="4B5F3196"/>
    <w:rsid w:val="4BA12BC2"/>
    <w:rsid w:val="4BAD5A0B"/>
    <w:rsid w:val="4BBA3C84"/>
    <w:rsid w:val="4BD946C0"/>
    <w:rsid w:val="4BDF193C"/>
    <w:rsid w:val="4C1B0BC7"/>
    <w:rsid w:val="4C3954F1"/>
    <w:rsid w:val="4DAE7818"/>
    <w:rsid w:val="4DCC08B1"/>
    <w:rsid w:val="4DFD20AB"/>
    <w:rsid w:val="4E0302C9"/>
    <w:rsid w:val="4E035902"/>
    <w:rsid w:val="4E1C0C26"/>
    <w:rsid w:val="4E711B11"/>
    <w:rsid w:val="4EA2112B"/>
    <w:rsid w:val="4EB175C0"/>
    <w:rsid w:val="4EE50468"/>
    <w:rsid w:val="4F2A2ECF"/>
    <w:rsid w:val="4F522B51"/>
    <w:rsid w:val="4F575C6B"/>
    <w:rsid w:val="4F59348C"/>
    <w:rsid w:val="4FA62E9D"/>
    <w:rsid w:val="5025338B"/>
    <w:rsid w:val="502913D8"/>
    <w:rsid w:val="507B7E86"/>
    <w:rsid w:val="50942CF5"/>
    <w:rsid w:val="51890380"/>
    <w:rsid w:val="51C07B1A"/>
    <w:rsid w:val="51FF4AE6"/>
    <w:rsid w:val="523A0938"/>
    <w:rsid w:val="52592449"/>
    <w:rsid w:val="528C6BAE"/>
    <w:rsid w:val="52E67747"/>
    <w:rsid w:val="52F33D1A"/>
    <w:rsid w:val="53372BE6"/>
    <w:rsid w:val="537868FE"/>
    <w:rsid w:val="53B65679"/>
    <w:rsid w:val="540D44AF"/>
    <w:rsid w:val="551D59AF"/>
    <w:rsid w:val="558C4C9C"/>
    <w:rsid w:val="55913CA7"/>
    <w:rsid w:val="55F464CD"/>
    <w:rsid w:val="56293EE0"/>
    <w:rsid w:val="5637484F"/>
    <w:rsid w:val="5641747C"/>
    <w:rsid w:val="565C2507"/>
    <w:rsid w:val="56633896"/>
    <w:rsid w:val="56876E58"/>
    <w:rsid w:val="56B153BE"/>
    <w:rsid w:val="574B0E81"/>
    <w:rsid w:val="57572CCF"/>
    <w:rsid w:val="595C703F"/>
    <w:rsid w:val="597A4A53"/>
    <w:rsid w:val="597C07CB"/>
    <w:rsid w:val="599908A6"/>
    <w:rsid w:val="5A225816"/>
    <w:rsid w:val="5A3966BC"/>
    <w:rsid w:val="5A5B2064"/>
    <w:rsid w:val="5A7B6CD4"/>
    <w:rsid w:val="5AA1498D"/>
    <w:rsid w:val="5AAE70AA"/>
    <w:rsid w:val="5AE42ACB"/>
    <w:rsid w:val="5B04316E"/>
    <w:rsid w:val="5B0D462E"/>
    <w:rsid w:val="5B1433B1"/>
    <w:rsid w:val="5BB26726"/>
    <w:rsid w:val="5BB570B2"/>
    <w:rsid w:val="5BD237B0"/>
    <w:rsid w:val="5BF31218"/>
    <w:rsid w:val="5C0827EA"/>
    <w:rsid w:val="5C5E240A"/>
    <w:rsid w:val="5CC20BEA"/>
    <w:rsid w:val="5CEC2E70"/>
    <w:rsid w:val="5D327B1E"/>
    <w:rsid w:val="5D8A5BAC"/>
    <w:rsid w:val="5D973E25"/>
    <w:rsid w:val="5DAB143A"/>
    <w:rsid w:val="5DBB278C"/>
    <w:rsid w:val="5DDB3FA9"/>
    <w:rsid w:val="5E1C432A"/>
    <w:rsid w:val="5E316028"/>
    <w:rsid w:val="5EE035AA"/>
    <w:rsid w:val="5EF01A3F"/>
    <w:rsid w:val="5F3B0DEA"/>
    <w:rsid w:val="5F805584"/>
    <w:rsid w:val="5FB10E83"/>
    <w:rsid w:val="60795A64"/>
    <w:rsid w:val="61736D6A"/>
    <w:rsid w:val="622A34BA"/>
    <w:rsid w:val="628F156F"/>
    <w:rsid w:val="62EC076F"/>
    <w:rsid w:val="62EF200D"/>
    <w:rsid w:val="630874F5"/>
    <w:rsid w:val="633374E2"/>
    <w:rsid w:val="63443BFB"/>
    <w:rsid w:val="63536A40"/>
    <w:rsid w:val="6394679A"/>
    <w:rsid w:val="63AD5DD7"/>
    <w:rsid w:val="63B35731"/>
    <w:rsid w:val="64545DB4"/>
    <w:rsid w:val="645962D8"/>
    <w:rsid w:val="65C41932"/>
    <w:rsid w:val="65D538C3"/>
    <w:rsid w:val="65DC194B"/>
    <w:rsid w:val="65E25E59"/>
    <w:rsid w:val="66157FDD"/>
    <w:rsid w:val="679F2254"/>
    <w:rsid w:val="68C1269E"/>
    <w:rsid w:val="69096A40"/>
    <w:rsid w:val="6A476407"/>
    <w:rsid w:val="6A941E18"/>
    <w:rsid w:val="6AB158BE"/>
    <w:rsid w:val="6AF01018"/>
    <w:rsid w:val="6B5B0B88"/>
    <w:rsid w:val="6B7E6624"/>
    <w:rsid w:val="6BB56CEE"/>
    <w:rsid w:val="6C133210"/>
    <w:rsid w:val="6C1B3E73"/>
    <w:rsid w:val="6D7D4DE5"/>
    <w:rsid w:val="6D8C0B84"/>
    <w:rsid w:val="6DA2484C"/>
    <w:rsid w:val="6DA265FA"/>
    <w:rsid w:val="6DBA5467"/>
    <w:rsid w:val="6DBD733D"/>
    <w:rsid w:val="6DCB7281"/>
    <w:rsid w:val="6E0D4C31"/>
    <w:rsid w:val="6E8403F6"/>
    <w:rsid w:val="6EA97E5C"/>
    <w:rsid w:val="6EB365E5"/>
    <w:rsid w:val="6F3B4DD8"/>
    <w:rsid w:val="6F556F3C"/>
    <w:rsid w:val="6F814F0E"/>
    <w:rsid w:val="6FCC5BB0"/>
    <w:rsid w:val="706A0C53"/>
    <w:rsid w:val="712A74F5"/>
    <w:rsid w:val="71637FD2"/>
    <w:rsid w:val="717B788E"/>
    <w:rsid w:val="718A5D23"/>
    <w:rsid w:val="72005FE5"/>
    <w:rsid w:val="72E16E69"/>
    <w:rsid w:val="73665103"/>
    <w:rsid w:val="73CA4C19"/>
    <w:rsid w:val="73F94D9A"/>
    <w:rsid w:val="74251C03"/>
    <w:rsid w:val="742D3B85"/>
    <w:rsid w:val="75157C52"/>
    <w:rsid w:val="753366D1"/>
    <w:rsid w:val="75530B22"/>
    <w:rsid w:val="758D5DE2"/>
    <w:rsid w:val="75994786"/>
    <w:rsid w:val="76165DD7"/>
    <w:rsid w:val="76D53514"/>
    <w:rsid w:val="76E063E5"/>
    <w:rsid w:val="76F93003"/>
    <w:rsid w:val="770E0614"/>
    <w:rsid w:val="77297D8C"/>
    <w:rsid w:val="778C3E77"/>
    <w:rsid w:val="77DE419C"/>
    <w:rsid w:val="77DF1FFC"/>
    <w:rsid w:val="77E617D9"/>
    <w:rsid w:val="780841E4"/>
    <w:rsid w:val="78243542"/>
    <w:rsid w:val="784F737E"/>
    <w:rsid w:val="78D930EC"/>
    <w:rsid w:val="78DE6954"/>
    <w:rsid w:val="792926D3"/>
    <w:rsid w:val="792E3438"/>
    <w:rsid w:val="79BF0534"/>
    <w:rsid w:val="7A652E89"/>
    <w:rsid w:val="7B0F3449"/>
    <w:rsid w:val="7B1E74DC"/>
    <w:rsid w:val="7BA479E1"/>
    <w:rsid w:val="7C330D65"/>
    <w:rsid w:val="7CC52305"/>
    <w:rsid w:val="7CFB2AB1"/>
    <w:rsid w:val="7D3E1194"/>
    <w:rsid w:val="7DA83A8C"/>
    <w:rsid w:val="7DCA3430"/>
    <w:rsid w:val="7DE42E8D"/>
    <w:rsid w:val="7E752216"/>
    <w:rsid w:val="7EBE525E"/>
    <w:rsid w:val="7ED87D47"/>
    <w:rsid w:val="7EE12CFA"/>
    <w:rsid w:val="7F121106"/>
    <w:rsid w:val="7F7F1FC9"/>
    <w:rsid w:val="7FD12D6F"/>
    <w:rsid w:val="7FDB599C"/>
    <w:rsid w:val="CC77B4EC"/>
    <w:rsid w:val="DFBF6FA0"/>
    <w:rsid w:val="EE9F6B64"/>
    <w:rsid w:val="F79E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42"/>
    <w:semiHidden/>
    <w:unhideWhenUsed/>
    <w:qFormat/>
    <w:uiPriority w:val="99"/>
    <w:pPr>
      <w:jc w:val="left"/>
    </w:pPr>
  </w:style>
  <w:style w:type="paragraph" w:styleId="7">
    <w:name w:val="Body Text"/>
    <w:basedOn w:val="1"/>
    <w:next w:val="1"/>
    <w:link w:val="32"/>
    <w:qFormat/>
    <w:uiPriority w:val="99"/>
    <w:pPr>
      <w:widowControl/>
      <w:spacing w:line="360" w:lineRule="auto"/>
    </w:pPr>
    <w:rPr>
      <w:rFonts w:ascii="Times New Roman" w:hAnsi="Times New Roman" w:eastAsia="宋体" w:cs="Times New Roman"/>
      <w:kern w:val="0"/>
      <w:sz w:val="20"/>
      <w:szCs w:val="20"/>
    </w:rPr>
  </w:style>
  <w:style w:type="paragraph" w:styleId="8">
    <w:name w:val="Body Text Indent"/>
    <w:basedOn w:val="1"/>
    <w:next w:val="5"/>
    <w:qFormat/>
    <w:uiPriority w:val="0"/>
    <w:pPr>
      <w:ind w:firstLine="645"/>
    </w:pPr>
    <w:rPr>
      <w:rFonts w:ascii="楷体_GB2312" w:eastAsia="楷体_GB2312"/>
      <w:sz w:val="32"/>
      <w:szCs w:val="20"/>
    </w:rPr>
  </w:style>
  <w:style w:type="paragraph" w:styleId="9">
    <w:name w:val="Plain Text"/>
    <w:basedOn w:val="1"/>
    <w:qFormat/>
    <w:uiPriority w:val="0"/>
    <w:rPr>
      <w:rFonts w:ascii="宋体" w:hAnsi="Courier New"/>
    </w:rPr>
  </w:style>
  <w:style w:type="paragraph" w:styleId="10">
    <w:name w:val="Date"/>
    <w:basedOn w:val="1"/>
    <w:next w:val="1"/>
    <w:link w:val="34"/>
    <w:qFormat/>
    <w:uiPriority w:val="99"/>
    <w:rPr>
      <w:rFonts w:hint="eastAsia" w:ascii="仿宋_GB2312" w:hAnsi="Times New Roman" w:eastAsia="仿宋_GB2312" w:cs="Times New Roman"/>
      <w:kern w:val="0"/>
      <w:sz w:val="32"/>
      <w:szCs w:val="20"/>
    </w:rPr>
  </w:style>
  <w:style w:type="paragraph" w:styleId="11">
    <w:name w:val="Balloon Text"/>
    <w:basedOn w:val="1"/>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29"/>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annotation subject"/>
    <w:basedOn w:val="6"/>
    <w:next w:val="6"/>
    <w:link w:val="43"/>
    <w:semiHidden/>
    <w:unhideWhenUsed/>
    <w:qFormat/>
    <w:uiPriority w:val="99"/>
    <w:rPr>
      <w:b/>
      <w:bCs/>
    </w:rPr>
  </w:style>
  <w:style w:type="paragraph" w:styleId="19">
    <w:name w:val="Body Text First Indent 2"/>
    <w:basedOn w:val="8"/>
    <w:unhideWhenUsed/>
    <w:qFormat/>
    <w:uiPriority w:val="99"/>
    <w:pPr>
      <w:ind w:left="200"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annotation reference"/>
    <w:semiHidden/>
    <w:qFormat/>
    <w:uiPriority w:val="99"/>
    <w:rPr>
      <w:sz w:val="21"/>
      <w:szCs w:val="21"/>
    </w:rPr>
  </w:style>
  <w:style w:type="paragraph" w:customStyle="1" w:styleId="25">
    <w:name w:val="正文文本1"/>
    <w:basedOn w:val="1"/>
    <w:qFormat/>
    <w:uiPriority w:val="0"/>
    <w:pPr>
      <w:widowControl/>
      <w:spacing w:line="360" w:lineRule="auto"/>
    </w:pPr>
    <w:rPr>
      <w:color w:val="FF0000"/>
    </w:rPr>
  </w:style>
  <w:style w:type="character" w:customStyle="1" w:styleId="26">
    <w:name w:val="页眉 字符"/>
    <w:basedOn w:val="22"/>
    <w:link w:val="14"/>
    <w:qFormat/>
    <w:uiPriority w:val="99"/>
    <w:rPr>
      <w:sz w:val="18"/>
      <w:szCs w:val="18"/>
    </w:rPr>
  </w:style>
  <w:style w:type="character" w:customStyle="1" w:styleId="27">
    <w:name w:val="页脚 字符"/>
    <w:basedOn w:val="22"/>
    <w:link w:val="12"/>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标题 字符"/>
    <w:link w:val="17"/>
    <w:qFormat/>
    <w:uiPriority w:val="10"/>
    <w:rPr>
      <w:rFonts w:ascii="Times New Roman" w:hAnsi="Times New Roman" w:eastAsia="方正小标宋简体"/>
      <w:spacing w:val="5"/>
      <w:kern w:val="28"/>
      <w:sz w:val="36"/>
      <w:szCs w:val="52"/>
    </w:rPr>
  </w:style>
  <w:style w:type="character" w:customStyle="1" w:styleId="30">
    <w:name w:val="标题 字符1"/>
    <w:basedOn w:val="22"/>
    <w:qFormat/>
    <w:uiPriority w:val="10"/>
    <w:rPr>
      <w:rFonts w:asciiTheme="majorHAnsi" w:hAnsiTheme="majorHAnsi" w:eastAsiaTheme="majorEastAsia" w:cstheme="majorBidi"/>
      <w:b/>
      <w:bCs/>
      <w:sz w:val="32"/>
      <w:szCs w:val="32"/>
    </w:rPr>
  </w:style>
  <w:style w:type="character" w:customStyle="1" w:styleId="31">
    <w:name w:val="HTML 预设格式 字符"/>
    <w:basedOn w:val="22"/>
    <w:link w:val="15"/>
    <w:qFormat/>
    <w:uiPriority w:val="0"/>
    <w:rPr>
      <w:rFonts w:ascii="Arial" w:hAnsi="Arial" w:eastAsia="宋体" w:cs="Arial"/>
      <w:kern w:val="0"/>
      <w:sz w:val="24"/>
      <w:szCs w:val="24"/>
    </w:rPr>
  </w:style>
  <w:style w:type="character" w:customStyle="1" w:styleId="32">
    <w:name w:val="正文文本 字符"/>
    <w:basedOn w:val="22"/>
    <w:link w:val="7"/>
    <w:qFormat/>
    <w:uiPriority w:val="99"/>
    <w:rPr>
      <w:rFonts w:ascii="Times New Roman" w:hAnsi="Times New Roman" w:eastAsia="宋体" w:cs="Times New Roman"/>
      <w:kern w:val="0"/>
      <w:sz w:val="20"/>
      <w:szCs w:val="20"/>
    </w:rPr>
  </w:style>
  <w:style w:type="paragraph" w:customStyle="1" w:styleId="33">
    <w:name w:val="Table Paragraph"/>
    <w:basedOn w:val="1"/>
    <w:qFormat/>
    <w:uiPriority w:val="1"/>
    <w:pPr>
      <w:spacing w:before="102"/>
      <w:jc w:val="center"/>
    </w:pPr>
    <w:rPr>
      <w:rFonts w:ascii="宋体" w:hAnsi="宋体" w:eastAsia="宋体" w:cs="宋体"/>
      <w:lang w:val="zh-CN" w:bidi="zh-CN"/>
    </w:rPr>
  </w:style>
  <w:style w:type="character" w:customStyle="1" w:styleId="34">
    <w:name w:val="日期 字符"/>
    <w:basedOn w:val="22"/>
    <w:link w:val="10"/>
    <w:qFormat/>
    <w:uiPriority w:val="99"/>
    <w:rPr>
      <w:rFonts w:ascii="仿宋_GB2312" w:hAnsi="Times New Roman" w:eastAsia="仿宋_GB2312" w:cs="Times New Roman"/>
      <w:kern w:val="0"/>
      <w:sz w:val="32"/>
      <w:szCs w:val="20"/>
    </w:rPr>
  </w:style>
  <w:style w:type="character" w:customStyle="1" w:styleId="35">
    <w:name w:val="NormalCharacter"/>
    <w:qFormat/>
    <w:uiPriority w:val="0"/>
  </w:style>
  <w:style w:type="paragraph" w:customStyle="1" w:styleId="36">
    <w:name w:val="列出段落1"/>
    <w:basedOn w:val="1"/>
    <w:qFormat/>
    <w:uiPriority w:val="0"/>
    <w:pPr>
      <w:ind w:firstLine="420" w:firstLineChars="200"/>
    </w:pPr>
    <w:rPr>
      <w:rFonts w:ascii="Times New Roman" w:hAnsi="Times New Roman" w:eastAsia="宋体" w:cs="Times New Roman"/>
      <w:szCs w:val="24"/>
    </w:rPr>
  </w:style>
  <w:style w:type="paragraph" w:customStyle="1" w:styleId="37">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38">
    <w:name w:val="*正文"/>
    <w:basedOn w:val="1"/>
    <w:qFormat/>
    <w:uiPriority w:val="0"/>
    <w:pPr>
      <w:spacing w:line="360" w:lineRule="auto"/>
      <w:ind w:firstLine="200" w:firstLineChars="200"/>
    </w:pPr>
    <w:rPr>
      <w:rFonts w:ascii="宋体" w:hAnsi="宋体"/>
      <w:sz w:val="22"/>
    </w:rPr>
  </w:style>
  <w:style w:type="character" w:customStyle="1" w:styleId="39">
    <w:name w:val="font11"/>
    <w:basedOn w:val="22"/>
    <w:qFormat/>
    <w:uiPriority w:val="0"/>
    <w:rPr>
      <w:rFonts w:hint="default" w:ascii="Times New Roman" w:hAnsi="Times New Roman" w:cs="Times New Roman"/>
      <w:color w:val="000000"/>
      <w:sz w:val="24"/>
      <w:szCs w:val="24"/>
      <w:u w:val="none"/>
    </w:rPr>
  </w:style>
  <w:style w:type="character" w:customStyle="1" w:styleId="40">
    <w:name w:val="font01"/>
    <w:basedOn w:val="22"/>
    <w:qFormat/>
    <w:uiPriority w:val="0"/>
    <w:rPr>
      <w:rFonts w:hint="eastAsia" w:ascii="宋体" w:hAnsi="宋体" w:eastAsia="宋体" w:cs="宋体"/>
      <w:color w:val="000000"/>
      <w:sz w:val="24"/>
      <w:szCs w:val="24"/>
      <w:u w:val="none"/>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2">
    <w:name w:val="批注文字 字符"/>
    <w:basedOn w:val="22"/>
    <w:link w:val="6"/>
    <w:semiHidden/>
    <w:qFormat/>
    <w:uiPriority w:val="99"/>
    <w:rPr>
      <w:rFonts w:asciiTheme="minorHAnsi" w:hAnsiTheme="minorHAnsi" w:eastAsiaTheme="minorEastAsia" w:cstheme="minorBidi"/>
      <w:kern w:val="2"/>
      <w:sz w:val="21"/>
      <w:szCs w:val="22"/>
    </w:rPr>
  </w:style>
  <w:style w:type="character" w:customStyle="1" w:styleId="43">
    <w:name w:val="批注主题 字符"/>
    <w:basedOn w:val="42"/>
    <w:link w:val="18"/>
    <w:semiHidden/>
    <w:qFormat/>
    <w:uiPriority w:val="99"/>
    <w:rPr>
      <w:rFonts w:asciiTheme="minorHAnsi" w:hAnsiTheme="minorHAnsi" w:eastAsiaTheme="minorEastAsia" w:cstheme="minorBidi"/>
      <w:b/>
      <w:bCs/>
      <w:kern w:val="2"/>
      <w:sz w:val="21"/>
      <w:szCs w:val="22"/>
    </w:rPr>
  </w:style>
  <w:style w:type="table" w:customStyle="1" w:styleId="4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1750</Words>
  <Characters>2039</Characters>
  <Lines>318</Lines>
  <Paragraphs>781</Paragraphs>
  <TotalTime>1</TotalTime>
  <ScaleCrop>false</ScaleCrop>
  <LinksUpToDate>false</LinksUpToDate>
  <CharactersWithSpaces>2186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2022-01-25T09:02:00Z</dcterms:created>
  <dc:creator>j4</dc:creator>
  <cp:lastModifiedBy>WPS_1646027095</cp:lastModifiedBy>
  <dcterms:modified xsi:type="dcterms:W3CDTF">2026-04-08T09:41:42Z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14DB2FFCE9154008BBD93231BFB80E3A</vt:lpwstr>
  </property>
  <property fmtid="{D5CDD505-2E9C-101B-9397-08002B2CF9AE}" pid="4" name="KSOTemplateDocerSaveRecord">
    <vt:lpwstr>eyJoZGlkIjoiYzE4MGFkYTkwNjZjODA3YTU3OGUyNDFjZDZiMjMyMWMiLCJ1c2VySWQiOiIxMzM2OTI0Mzc5In0=</vt:lpwstr>
  </property>
</Properties>
</file>