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66CA9C">
      <w:pPr>
        <w:spacing w:line="360" w:lineRule="auto"/>
        <w:jc w:val="center"/>
        <w:rPr>
          <w:rFonts w:ascii="Times New Roman" w:hAnsi="Times New Roman" w:eastAsia="宋体" w:cs="Times New Roman"/>
          <w:b/>
          <w:bCs/>
          <w:sz w:val="36"/>
          <w:szCs w:val="36"/>
        </w:rPr>
      </w:pPr>
      <w:bookmarkStart w:id="0" w:name="OLE_LINK2"/>
      <w:r>
        <w:rPr>
          <w:rFonts w:hint="eastAsia" w:ascii="Times New Roman" w:hAnsi="Times New Roman" w:eastAsia="宋体" w:cs="Times New Roman"/>
          <w:b/>
          <w:bCs/>
          <w:sz w:val="36"/>
          <w:szCs w:val="36"/>
        </w:rPr>
        <w:t>聘请</w:t>
      </w:r>
      <w:bookmarkStart w:id="1" w:name="OLE_LINK7"/>
      <w:r>
        <w:rPr>
          <w:rFonts w:hint="eastAsia" w:ascii="Times New Roman" w:hAnsi="Times New Roman" w:eastAsia="宋体" w:cs="Times New Roman"/>
          <w:b/>
          <w:bCs/>
          <w:sz w:val="36"/>
          <w:szCs w:val="36"/>
        </w:rPr>
        <w:t>常年法律顾问服务</w:t>
      </w:r>
      <w:bookmarkEnd w:id="1"/>
      <w:r>
        <w:rPr>
          <w:rFonts w:hint="eastAsia" w:ascii="Times New Roman" w:hAnsi="Times New Roman" w:eastAsia="宋体" w:cs="Times New Roman"/>
          <w:b/>
          <w:bCs/>
          <w:sz w:val="36"/>
          <w:szCs w:val="36"/>
        </w:rPr>
        <w:t>项目</w:t>
      </w:r>
      <w:bookmarkStart w:id="2" w:name="_Hlk202796270"/>
    </w:p>
    <w:bookmarkEnd w:id="0"/>
    <w:p w14:paraId="3A7793F8">
      <w:pPr>
        <w:spacing w:line="360" w:lineRule="auto"/>
        <w:jc w:val="center"/>
        <w:rPr>
          <w:rFonts w:ascii="Times New Roman" w:hAnsi="Times New Roman" w:eastAsia="宋体" w:cs="Times New Roman"/>
          <w:b/>
          <w:bCs/>
          <w:color w:val="000000"/>
          <w:kern w:val="0"/>
          <w:sz w:val="24"/>
          <w:szCs w:val="24"/>
          <w:highlight w:val="yellow"/>
          <w:shd w:val="clear" w:color="auto" w:fill="FFFFFF"/>
        </w:rPr>
      </w:pPr>
      <w:r>
        <w:rPr>
          <w:rFonts w:hint="eastAsia" w:ascii="Times New Roman" w:hAnsi="Times New Roman" w:eastAsia="宋体" w:cs="Times New Roman"/>
          <w:b/>
          <w:bCs/>
          <w:sz w:val="36"/>
          <w:szCs w:val="36"/>
        </w:rPr>
        <w:t>需求公示</w:t>
      </w:r>
      <w:bookmarkEnd w:id="2"/>
      <w:r>
        <w:rPr>
          <w:rFonts w:ascii="Times New Roman" w:hAnsi="Times New Roman" w:eastAsia="宋体" w:cs="Times New Roman"/>
          <w:b/>
          <w:bCs/>
          <w:sz w:val="36"/>
          <w:szCs w:val="36"/>
        </w:rPr>
        <w:t>附件</w:t>
      </w:r>
    </w:p>
    <w:p w14:paraId="18746E02">
      <w:pPr>
        <w:rPr>
          <w:rFonts w:ascii="Times New Roman" w:hAnsi="Times New Roman" w:eastAsia="宋体" w:cs="Times New Roman"/>
          <w:b/>
          <w:bCs/>
          <w:color w:val="000000"/>
          <w:kern w:val="0"/>
          <w:sz w:val="24"/>
          <w:szCs w:val="24"/>
          <w:shd w:val="clear" w:color="auto" w:fill="FFFFFF"/>
        </w:rPr>
      </w:pPr>
    </w:p>
    <w:p w14:paraId="45ACFF32">
      <w:pPr>
        <w:outlineLvl w:val="1"/>
        <w:rPr>
          <w:rFonts w:ascii="Times New Roman" w:hAnsi="Times New Roman" w:eastAsia="宋体" w:cs="Times New Roman"/>
          <w:b/>
          <w:bCs/>
          <w:color w:val="000000"/>
          <w:kern w:val="0"/>
          <w:sz w:val="24"/>
          <w:szCs w:val="24"/>
          <w:shd w:val="clear" w:color="auto" w:fill="FFFFFF"/>
        </w:rPr>
      </w:pPr>
      <w:r>
        <w:rPr>
          <w:rFonts w:ascii="Times New Roman" w:hAnsi="Times New Roman" w:eastAsia="宋体" w:cs="Times New Roman"/>
          <w:b/>
          <w:bCs/>
          <w:color w:val="000000"/>
          <w:kern w:val="0"/>
          <w:sz w:val="24"/>
          <w:szCs w:val="24"/>
          <w:shd w:val="clear" w:color="auto" w:fill="FFFFFF"/>
        </w:rPr>
        <w:t>附件一 报名材料：</w:t>
      </w:r>
    </w:p>
    <w:p w14:paraId="18C6EB0C">
      <w:pPr>
        <w:spacing w:line="360" w:lineRule="auto"/>
        <w:rPr>
          <w:rFonts w:ascii="Times New Roman" w:hAnsi="Times New Roman" w:eastAsia="宋体" w:cs="Times New Roman"/>
          <w:b/>
          <w:sz w:val="24"/>
          <w:szCs w:val="24"/>
        </w:rPr>
      </w:pPr>
      <w:r>
        <w:rPr>
          <w:rFonts w:ascii="Times New Roman" w:hAnsi="Times New Roman" w:eastAsia="宋体" w:cs="Times New Roman"/>
          <w:b/>
          <w:sz w:val="24"/>
          <w:szCs w:val="24"/>
        </w:rPr>
        <w:t>（注：以下附件1至附件</w:t>
      </w:r>
      <w:r>
        <w:rPr>
          <w:rFonts w:hint="eastAsia" w:ascii="Times New Roman" w:hAnsi="Times New Roman" w:eastAsia="宋体" w:cs="Times New Roman"/>
          <w:b/>
          <w:sz w:val="24"/>
          <w:szCs w:val="24"/>
        </w:rPr>
        <w:t>4</w:t>
      </w:r>
      <w:r>
        <w:rPr>
          <w:rFonts w:ascii="Times New Roman" w:hAnsi="Times New Roman" w:eastAsia="宋体" w:cs="Times New Roman"/>
          <w:b/>
          <w:sz w:val="24"/>
          <w:szCs w:val="24"/>
        </w:rPr>
        <w:t>为实质性条款，没有对此作出完全响应的供应商将被拒绝）</w:t>
      </w:r>
    </w:p>
    <w:tbl>
      <w:tblPr>
        <w:tblStyle w:val="20"/>
        <w:tblpPr w:leftFromText="180" w:rightFromText="180" w:vertAnchor="text" w:tblpXSpec="center" w:tblpY="347"/>
        <w:tblOverlap w:val="never"/>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4"/>
        <w:gridCol w:w="1279"/>
        <w:gridCol w:w="1389"/>
        <w:gridCol w:w="1796"/>
        <w:gridCol w:w="2223"/>
      </w:tblGrid>
      <w:tr w14:paraId="3B88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691" w:type="dxa"/>
            <w:gridSpan w:val="5"/>
          </w:tcPr>
          <w:p w14:paraId="2233E295">
            <w:pPr>
              <w:pStyle w:val="36"/>
            </w:pPr>
            <w:r>
              <w:t>报名信息</w:t>
            </w:r>
          </w:p>
        </w:tc>
      </w:tr>
      <w:tr w14:paraId="0A9D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2004" w:type="dxa"/>
            <w:vAlign w:val="center"/>
          </w:tcPr>
          <w:p w14:paraId="757D2F6D">
            <w:pPr>
              <w:pStyle w:val="36"/>
            </w:pPr>
            <w:r>
              <w:t>单位名称</w:t>
            </w:r>
          </w:p>
        </w:tc>
        <w:tc>
          <w:tcPr>
            <w:tcW w:w="1279" w:type="dxa"/>
            <w:vAlign w:val="center"/>
          </w:tcPr>
          <w:p w14:paraId="5E916FEB">
            <w:pPr>
              <w:pStyle w:val="36"/>
            </w:pPr>
            <w:r>
              <w:rPr>
                <w:shd w:val="clear" w:color="auto" w:fill="FFFFFF"/>
              </w:rPr>
              <w:t>联系人</w:t>
            </w:r>
          </w:p>
        </w:tc>
        <w:tc>
          <w:tcPr>
            <w:tcW w:w="1389" w:type="dxa"/>
            <w:vAlign w:val="center"/>
          </w:tcPr>
          <w:p w14:paraId="0C7F6603">
            <w:pPr>
              <w:pStyle w:val="36"/>
            </w:pPr>
            <w:r>
              <w:rPr>
                <w:shd w:val="clear" w:color="auto" w:fill="FFFFFF"/>
              </w:rPr>
              <w:t>联系电话（手机号）</w:t>
            </w:r>
          </w:p>
        </w:tc>
        <w:tc>
          <w:tcPr>
            <w:tcW w:w="1796" w:type="dxa"/>
            <w:vAlign w:val="center"/>
          </w:tcPr>
          <w:p w14:paraId="0E793A30">
            <w:pPr>
              <w:pStyle w:val="36"/>
              <w:rPr>
                <w:shd w:val="clear" w:color="auto" w:fill="FFFFFF"/>
              </w:rPr>
            </w:pPr>
            <w:r>
              <w:rPr>
                <w:shd w:val="clear" w:color="auto" w:fill="FFFFFF"/>
              </w:rPr>
              <w:t>地址</w:t>
            </w:r>
          </w:p>
        </w:tc>
        <w:tc>
          <w:tcPr>
            <w:tcW w:w="2223" w:type="dxa"/>
            <w:vAlign w:val="center"/>
          </w:tcPr>
          <w:p w14:paraId="5BBA06A6">
            <w:pPr>
              <w:pStyle w:val="36"/>
              <w:rPr>
                <w:shd w:val="clear" w:color="auto" w:fill="FFFFFF"/>
              </w:rPr>
            </w:pPr>
            <w:r>
              <w:rPr>
                <w:shd w:val="clear" w:color="auto" w:fill="FFFFFF"/>
              </w:rPr>
              <w:t>邮箱</w:t>
            </w:r>
          </w:p>
        </w:tc>
      </w:tr>
      <w:tr w14:paraId="453F7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2004" w:type="dxa"/>
            <w:vAlign w:val="center"/>
          </w:tcPr>
          <w:p w14:paraId="667B09A3">
            <w:pPr>
              <w:pStyle w:val="36"/>
            </w:pPr>
          </w:p>
        </w:tc>
        <w:tc>
          <w:tcPr>
            <w:tcW w:w="1279" w:type="dxa"/>
            <w:vAlign w:val="center"/>
          </w:tcPr>
          <w:p w14:paraId="192DA8C1">
            <w:pPr>
              <w:pStyle w:val="36"/>
              <w:rPr>
                <w:shd w:val="clear" w:color="auto" w:fill="FFFFFF"/>
              </w:rPr>
            </w:pPr>
          </w:p>
        </w:tc>
        <w:tc>
          <w:tcPr>
            <w:tcW w:w="1389" w:type="dxa"/>
            <w:vAlign w:val="center"/>
          </w:tcPr>
          <w:p w14:paraId="07AFB53B">
            <w:pPr>
              <w:pStyle w:val="36"/>
            </w:pPr>
          </w:p>
        </w:tc>
        <w:tc>
          <w:tcPr>
            <w:tcW w:w="1796" w:type="dxa"/>
            <w:vAlign w:val="center"/>
          </w:tcPr>
          <w:p w14:paraId="7AC845FD">
            <w:pPr>
              <w:pStyle w:val="36"/>
            </w:pPr>
          </w:p>
        </w:tc>
        <w:tc>
          <w:tcPr>
            <w:tcW w:w="2223" w:type="dxa"/>
            <w:vAlign w:val="center"/>
          </w:tcPr>
          <w:p w14:paraId="7031E588">
            <w:pPr>
              <w:pStyle w:val="36"/>
            </w:pPr>
          </w:p>
        </w:tc>
      </w:tr>
      <w:tr w14:paraId="20AB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91" w:type="dxa"/>
            <w:gridSpan w:val="5"/>
          </w:tcPr>
          <w:p w14:paraId="2FE5DF14">
            <w:pPr>
              <w:pStyle w:val="36"/>
            </w:pPr>
            <w:r>
              <w:t>注：请报名供应商填写以上信息。</w:t>
            </w:r>
          </w:p>
        </w:tc>
      </w:tr>
    </w:tbl>
    <w:p w14:paraId="7BEB6C31">
      <w:pPr>
        <w:rPr>
          <w:rFonts w:hint="eastAsia"/>
        </w:rPr>
      </w:pPr>
    </w:p>
    <w:p w14:paraId="11A29D5F">
      <w:pPr>
        <w:pStyle w:val="9"/>
        <w:spacing w:line="360" w:lineRule="auto"/>
        <w:ind w:left="0" w:leftChars="0" w:firstLine="0"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附件1 有效的营业执照或法人证书等证明文件，以自然人身份参与的提交自然人的有效身份证明</w:t>
      </w:r>
    </w:p>
    <w:p w14:paraId="267C0BDF">
      <w:pPr>
        <w:pStyle w:val="9"/>
        <w:spacing w:line="360" w:lineRule="auto"/>
        <w:ind w:left="0" w:leftChars="0" w:firstLine="0"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附件2 法定代表人/负责人身份证明</w:t>
      </w:r>
    </w:p>
    <w:p w14:paraId="7FE032FD">
      <w:pPr>
        <w:pStyle w:val="9"/>
        <w:spacing w:line="360" w:lineRule="auto"/>
        <w:ind w:left="0" w:leftChars="0" w:firstLine="0"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附件3 法定代表人/负责人授权书</w:t>
      </w:r>
    </w:p>
    <w:p w14:paraId="571110F7">
      <w:pPr>
        <w:pStyle w:val="9"/>
        <w:spacing w:line="360" w:lineRule="auto"/>
        <w:ind w:left="0" w:leftChars="0" w:firstLine="0" w:firstLineChars="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 xml:space="preserve">附件4 </w:t>
      </w:r>
      <w:r>
        <w:rPr>
          <w:rFonts w:ascii="Times New Roman" w:hAnsi="Times New Roman" w:eastAsia="宋体" w:cs="Times New Roman"/>
          <w:sz w:val="24"/>
          <w:szCs w:val="24"/>
        </w:rPr>
        <w:t>本项目的特定资格要求：</w:t>
      </w:r>
      <w:r>
        <w:rPr>
          <w:rFonts w:hint="eastAsia" w:ascii="Times New Roman" w:hAnsi="Times New Roman" w:eastAsia="宋体" w:cs="Times New Roman"/>
          <w:sz w:val="24"/>
          <w:szCs w:val="24"/>
          <w:lang w:val="en-US" w:eastAsia="zh-CN"/>
        </w:rPr>
        <w:t>4.1）</w:t>
      </w:r>
      <w:r>
        <w:rPr>
          <w:rFonts w:hint="eastAsia" w:ascii="Times New Roman" w:hAnsi="Times New Roman" w:eastAsia="宋体" w:cs="Times New Roman"/>
          <w:sz w:val="24"/>
          <w:szCs w:val="24"/>
        </w:rPr>
        <w:t>具有司法行政机关颁发的有效的《律师事务所执业许可证》</w:t>
      </w:r>
      <w:bookmarkStart w:id="3" w:name="OLE_LINK1"/>
      <w:r>
        <w:rPr>
          <w:rFonts w:hint="eastAsia" w:ascii="Times New Roman" w:hAnsi="Times New Roman" w:eastAsia="宋体" w:cs="Times New Roman"/>
          <w:sz w:val="24"/>
          <w:szCs w:val="24"/>
        </w:rPr>
        <w:t>或</w:t>
      </w:r>
      <w:r>
        <w:rPr>
          <w:rFonts w:hint="eastAsia" w:ascii="宋体" w:hAnsi="宋体" w:eastAsia="宋体" w:cs="宋体"/>
          <w:color w:val="000000"/>
          <w:sz w:val="24"/>
          <w:szCs w:val="24"/>
        </w:rPr>
        <w:t>《律师事务所分所执业许可证》</w:t>
      </w:r>
      <w:bookmarkEnd w:id="3"/>
      <w:r>
        <w:rPr>
          <w:rFonts w:hint="eastAsia" w:ascii="宋体" w:hAnsi="宋体" w:eastAsia="宋体" w:cs="宋体"/>
          <w:sz w:val="24"/>
          <w:szCs w:val="24"/>
        </w:rPr>
        <w:t>（复印件加盖供应商公章）。</w:t>
      </w:r>
      <w:r>
        <w:rPr>
          <w:rFonts w:hint="eastAsia" w:ascii="宋体" w:hAnsi="宋体" w:eastAsia="宋体" w:cs="宋体"/>
          <w:sz w:val="24"/>
          <w:szCs w:val="24"/>
          <w:highlight w:val="none"/>
          <w:lang w:val="en-US" w:eastAsia="zh-CN"/>
        </w:rPr>
        <w:t>4.2）在全国律师执业诚信信息公示平台（网址：https://credit.acla.org.cn/）未出现“行政处罚、行业处分、失信惩戒、停业整顿”执业失信记录。</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查询截图</w:t>
      </w:r>
      <w:r>
        <w:rPr>
          <w:rFonts w:hint="eastAsia" w:ascii="宋体" w:hAnsi="宋体" w:eastAsia="宋体" w:cs="宋体"/>
          <w:sz w:val="24"/>
          <w:szCs w:val="24"/>
          <w:highlight w:val="none"/>
        </w:rPr>
        <w:t>加盖供应商公章）。</w:t>
      </w:r>
    </w:p>
    <w:p w14:paraId="44C4B3B7">
      <w:pPr>
        <w:pStyle w:val="9"/>
        <w:spacing w:line="360" w:lineRule="auto"/>
        <w:ind w:left="0" w:leftChars="0" w:firstLine="0" w:firstLineChars="0"/>
        <w:rPr>
          <w:rFonts w:ascii="Times New Roman" w:hAnsi="Times New Roman" w:eastAsia="宋体" w:cs="Times New Roman"/>
          <w:sz w:val="24"/>
          <w:szCs w:val="24"/>
        </w:rPr>
      </w:pPr>
    </w:p>
    <w:p w14:paraId="492F411B">
      <w:pPr>
        <w:rPr>
          <w:rFonts w:ascii="Times New Roman" w:hAnsi="Times New Roman" w:eastAsia="宋体" w:cs="Times New Roman"/>
          <w:sz w:val="24"/>
          <w:szCs w:val="24"/>
        </w:rPr>
      </w:pPr>
      <w:r>
        <w:rPr>
          <w:rFonts w:ascii="Times New Roman" w:hAnsi="Times New Roman" w:eastAsia="宋体" w:cs="Times New Roman"/>
          <w:sz w:val="24"/>
          <w:szCs w:val="24"/>
        </w:rPr>
        <w:br w:type="page"/>
      </w:r>
    </w:p>
    <w:p w14:paraId="34E1898B">
      <w:pPr>
        <w:pStyle w:val="36"/>
      </w:pPr>
      <w:r>
        <w:t>报名材料格式：</w:t>
      </w:r>
    </w:p>
    <w:p w14:paraId="4B666014">
      <w:pPr>
        <w:pStyle w:val="36"/>
      </w:pPr>
      <w:bookmarkStart w:id="4" w:name="_Toc17461"/>
      <w:r>
        <w:t>附件 1  有效的营业执照或法人证书等证明文件（复印件，须加盖供应商公章），以自然人身份参与的提交自然人的有效身份证明（复印件）</w:t>
      </w:r>
      <w:bookmarkEnd w:id="4"/>
    </w:p>
    <w:p w14:paraId="3180BD27">
      <w:pPr>
        <w:rPr>
          <w:rFonts w:ascii="Times New Roman" w:hAnsi="Times New Roman" w:eastAsia="宋体" w:cs="Times New Roman"/>
          <w:sz w:val="24"/>
        </w:rPr>
      </w:pPr>
    </w:p>
    <w:p w14:paraId="32E54B7F">
      <w:pPr>
        <w:rPr>
          <w:rFonts w:ascii="Times New Roman" w:hAnsi="Times New Roman" w:eastAsia="宋体" w:cs="Times New Roman"/>
          <w:sz w:val="24"/>
        </w:rPr>
      </w:pPr>
    </w:p>
    <w:p w14:paraId="218E282C">
      <w:pPr>
        <w:rPr>
          <w:rFonts w:ascii="Times New Roman" w:hAnsi="Times New Roman" w:eastAsia="宋体" w:cs="Times New Roman"/>
          <w:sz w:val="24"/>
        </w:rPr>
      </w:pPr>
    </w:p>
    <w:p w14:paraId="65A7DC13">
      <w:pPr>
        <w:rPr>
          <w:rFonts w:ascii="Times New Roman" w:hAnsi="Times New Roman" w:eastAsia="宋体" w:cs="Times New Roman"/>
          <w:sz w:val="24"/>
        </w:rPr>
      </w:pPr>
    </w:p>
    <w:p w14:paraId="73B2B8AA">
      <w:pPr>
        <w:rPr>
          <w:rFonts w:ascii="Times New Roman" w:hAnsi="Times New Roman" w:eastAsia="宋体" w:cs="Times New Roman"/>
          <w:sz w:val="24"/>
        </w:rPr>
      </w:pPr>
    </w:p>
    <w:p w14:paraId="2A6343F3">
      <w:pPr>
        <w:pStyle w:val="5"/>
        <w:rPr>
          <w:rFonts w:ascii="Times New Roman" w:hAnsi="Times New Roman" w:eastAsia="宋体" w:cs="Times New Roman"/>
          <w:sz w:val="24"/>
          <w:szCs w:val="24"/>
        </w:rPr>
      </w:pPr>
      <w:bookmarkStart w:id="5" w:name="_Toc495677503"/>
      <w:bookmarkStart w:id="6" w:name="_Toc421622105"/>
      <w:r>
        <w:rPr>
          <w:rFonts w:ascii="Times New Roman" w:hAnsi="Times New Roman" w:eastAsia="宋体" w:cs="Times New Roman"/>
          <w:sz w:val="24"/>
        </w:rPr>
        <w:br w:type="page"/>
      </w:r>
      <w:bookmarkEnd w:id="5"/>
      <w:bookmarkEnd w:id="6"/>
      <w:bookmarkStart w:id="7" w:name="_Toc4718"/>
      <w:bookmarkStart w:id="8" w:name="_Toc37675382"/>
      <w:bookmarkStart w:id="9" w:name="_Toc12784"/>
      <w:r>
        <w:rPr>
          <w:rFonts w:ascii="Times New Roman" w:hAnsi="Times New Roman" w:eastAsia="宋体" w:cs="Times New Roman"/>
          <w:sz w:val="24"/>
          <w:szCs w:val="24"/>
        </w:rPr>
        <w:t>附件 2  法定代表人/负责人身份证明(格式，原件)</w:t>
      </w:r>
      <w:bookmarkEnd w:id="7"/>
      <w:bookmarkEnd w:id="8"/>
      <w:bookmarkEnd w:id="9"/>
    </w:p>
    <w:p w14:paraId="3D329439">
      <w:pPr>
        <w:pStyle w:val="10"/>
        <w:kinsoku w:val="0"/>
        <w:overflowPunct w:val="0"/>
        <w:autoSpaceDE w:val="0"/>
        <w:autoSpaceDN w:val="0"/>
        <w:spacing w:line="320" w:lineRule="exact"/>
        <w:ind w:firstLine="211"/>
        <w:rPr>
          <w:rFonts w:ascii="Times New Roman" w:hAnsi="Times New Roman" w:eastAsia="宋体" w:cs="Times New Roman"/>
          <w:b/>
          <w:kern w:val="0"/>
          <w:sz w:val="24"/>
          <w:szCs w:val="24"/>
        </w:rPr>
      </w:pPr>
    </w:p>
    <w:p w14:paraId="586D2B78">
      <w:pPr>
        <w:jc w:val="center"/>
        <w:rPr>
          <w:rFonts w:ascii="Times New Roman" w:hAnsi="Times New Roman" w:eastAsia="宋体" w:cs="Times New Roman"/>
          <w:b/>
          <w:sz w:val="24"/>
          <w:szCs w:val="24"/>
        </w:rPr>
      </w:pPr>
      <w:r>
        <w:rPr>
          <w:rFonts w:ascii="Times New Roman" w:hAnsi="Times New Roman" w:eastAsia="宋体" w:cs="Times New Roman"/>
          <w:b/>
          <w:sz w:val="24"/>
          <w:szCs w:val="24"/>
        </w:rPr>
        <w:t>法定代表人/负责人身份证明</w:t>
      </w:r>
    </w:p>
    <w:p w14:paraId="6F296F7C">
      <w:pPr>
        <w:pStyle w:val="10"/>
        <w:spacing w:before="187" w:beforeLines="60" w:line="30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供应商名称：</w:t>
      </w:r>
    </w:p>
    <w:p w14:paraId="23A6E089">
      <w:pPr>
        <w:pStyle w:val="10"/>
        <w:spacing w:before="187" w:beforeLines="60" w:line="30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单位性质：</w:t>
      </w:r>
    </w:p>
    <w:p w14:paraId="54009E3E">
      <w:pPr>
        <w:pStyle w:val="10"/>
        <w:spacing w:before="187" w:beforeLines="60" w:line="30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成立时间：   年    月     日</w:t>
      </w:r>
    </w:p>
    <w:p w14:paraId="36C38C63">
      <w:pPr>
        <w:pStyle w:val="10"/>
        <w:spacing w:before="187" w:beforeLines="60" w:line="30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姓名：         性别：           年龄：              职务：</w:t>
      </w:r>
    </w:p>
    <w:p w14:paraId="06ED7FF8">
      <w:pPr>
        <w:pStyle w:val="10"/>
        <w:spacing w:before="187" w:beforeLines="60" w:line="30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 xml:space="preserve">系 </w:t>
      </w:r>
      <w:r>
        <w:rPr>
          <w:rFonts w:ascii="Times New Roman" w:hAnsi="Times New Roman" w:eastAsia="宋体" w:cs="Times New Roman"/>
          <w:sz w:val="24"/>
          <w:szCs w:val="24"/>
          <w:u w:val="single"/>
        </w:rPr>
        <w:t xml:space="preserve">    （供应商名称）   </w:t>
      </w:r>
      <w:r>
        <w:rPr>
          <w:rFonts w:ascii="Times New Roman" w:hAnsi="Times New Roman" w:eastAsia="宋体" w:cs="Times New Roman"/>
          <w:sz w:val="24"/>
          <w:szCs w:val="24"/>
        </w:rPr>
        <w:t>的法定代表人/负责人。</w:t>
      </w:r>
    </w:p>
    <w:p w14:paraId="605303F1">
      <w:pPr>
        <w:pStyle w:val="10"/>
        <w:spacing w:before="187" w:beforeLines="60" w:line="30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特此证明。</w:t>
      </w:r>
    </w:p>
    <w:p w14:paraId="6BCB0CE4">
      <w:pPr>
        <w:pStyle w:val="10"/>
        <w:spacing w:before="187" w:beforeLines="60" w:line="300" w:lineRule="auto"/>
        <w:ind w:firstLine="210"/>
        <w:rPr>
          <w:rFonts w:ascii="Times New Roman" w:hAnsi="Times New Roman" w:eastAsia="宋体" w:cs="Times New Roman"/>
          <w:sz w:val="24"/>
          <w:szCs w:val="24"/>
        </w:rPr>
      </w:pPr>
    </w:p>
    <w:p w14:paraId="67BA6696">
      <w:pPr>
        <w:pStyle w:val="10"/>
        <w:tabs>
          <w:tab w:val="left" w:pos="5580"/>
        </w:tabs>
        <w:spacing w:line="30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附：法定代表人/负责人的身份证明：有效的身份证正反面复印件，或有效的护照复印件。</w:t>
      </w:r>
    </w:p>
    <w:tbl>
      <w:tblPr>
        <w:tblStyle w:val="19"/>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45D06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74FE67B9">
            <w:pPr>
              <w:tabs>
                <w:tab w:val="left" w:pos="5580"/>
              </w:tabs>
              <w:spacing w:line="360" w:lineRule="auto"/>
              <w:jc w:val="left"/>
              <w:rPr>
                <w:rFonts w:ascii="Times New Roman" w:hAnsi="Times New Roman" w:eastAsia="宋体" w:cs="Times New Roman"/>
                <w:sz w:val="24"/>
                <w:szCs w:val="20"/>
              </w:rPr>
            </w:pPr>
          </w:p>
          <w:p w14:paraId="5EDE1F3D">
            <w:pPr>
              <w:tabs>
                <w:tab w:val="left" w:pos="5580"/>
              </w:tabs>
              <w:spacing w:line="360" w:lineRule="auto"/>
              <w:jc w:val="left"/>
              <w:rPr>
                <w:rFonts w:ascii="Times New Roman" w:hAnsi="Times New Roman" w:eastAsia="宋体" w:cs="Times New Roman"/>
                <w:sz w:val="24"/>
                <w:szCs w:val="20"/>
              </w:rPr>
            </w:pPr>
          </w:p>
          <w:p w14:paraId="0A614AE5">
            <w:pPr>
              <w:tabs>
                <w:tab w:val="left" w:pos="5580"/>
              </w:tabs>
              <w:spacing w:line="360" w:lineRule="auto"/>
              <w:jc w:val="left"/>
              <w:rPr>
                <w:rFonts w:ascii="Times New Roman" w:hAnsi="Times New Roman" w:eastAsia="宋体" w:cs="Times New Roman"/>
                <w:sz w:val="24"/>
                <w:szCs w:val="20"/>
              </w:rPr>
            </w:pPr>
          </w:p>
        </w:tc>
        <w:tc>
          <w:tcPr>
            <w:tcW w:w="4536" w:type="dxa"/>
          </w:tcPr>
          <w:p w14:paraId="5182DD9A">
            <w:pPr>
              <w:tabs>
                <w:tab w:val="left" w:pos="5580"/>
              </w:tabs>
              <w:spacing w:line="360" w:lineRule="auto"/>
              <w:jc w:val="left"/>
              <w:rPr>
                <w:rFonts w:ascii="Times New Roman" w:hAnsi="Times New Roman" w:eastAsia="宋体" w:cs="Times New Roman"/>
                <w:sz w:val="24"/>
                <w:szCs w:val="20"/>
              </w:rPr>
            </w:pPr>
          </w:p>
          <w:p w14:paraId="247C2F72">
            <w:pPr>
              <w:tabs>
                <w:tab w:val="left" w:pos="5580"/>
              </w:tabs>
              <w:spacing w:line="360" w:lineRule="auto"/>
              <w:jc w:val="left"/>
              <w:rPr>
                <w:rFonts w:ascii="Times New Roman" w:hAnsi="Times New Roman" w:eastAsia="宋体" w:cs="Times New Roman"/>
                <w:sz w:val="24"/>
                <w:szCs w:val="20"/>
              </w:rPr>
            </w:pPr>
          </w:p>
          <w:p w14:paraId="4B34DB5D">
            <w:pPr>
              <w:tabs>
                <w:tab w:val="left" w:pos="5580"/>
              </w:tabs>
              <w:spacing w:line="360" w:lineRule="auto"/>
              <w:jc w:val="left"/>
              <w:rPr>
                <w:rFonts w:ascii="Times New Roman" w:hAnsi="Times New Roman" w:eastAsia="宋体" w:cs="Times New Roman"/>
                <w:sz w:val="24"/>
                <w:szCs w:val="20"/>
              </w:rPr>
            </w:pPr>
          </w:p>
        </w:tc>
      </w:tr>
    </w:tbl>
    <w:p w14:paraId="67DBA1A7">
      <w:pPr>
        <w:pStyle w:val="10"/>
        <w:tabs>
          <w:tab w:val="left" w:pos="5580"/>
        </w:tabs>
        <w:spacing w:line="300" w:lineRule="auto"/>
        <w:ind w:firstLine="210"/>
        <w:rPr>
          <w:rFonts w:ascii="Times New Roman" w:hAnsi="Times New Roman" w:eastAsia="宋体" w:cs="Times New Roman"/>
          <w:sz w:val="24"/>
          <w:szCs w:val="24"/>
        </w:rPr>
      </w:pPr>
    </w:p>
    <w:p w14:paraId="6FD575A2">
      <w:pPr>
        <w:pStyle w:val="10"/>
        <w:tabs>
          <w:tab w:val="left" w:pos="5580"/>
        </w:tabs>
        <w:spacing w:line="300" w:lineRule="auto"/>
        <w:ind w:firstLine="210"/>
        <w:rPr>
          <w:rFonts w:ascii="Times New Roman" w:hAnsi="Times New Roman" w:eastAsia="宋体" w:cs="Times New Roman"/>
          <w:sz w:val="24"/>
          <w:szCs w:val="24"/>
        </w:rPr>
      </w:pPr>
    </w:p>
    <w:p w14:paraId="6B0EAC41">
      <w:pPr>
        <w:pStyle w:val="10"/>
        <w:tabs>
          <w:tab w:val="left" w:pos="5580"/>
        </w:tabs>
        <w:spacing w:line="30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供应商名称（盖章）：_________________________________</w:t>
      </w:r>
    </w:p>
    <w:p w14:paraId="2CF322BD">
      <w:pPr>
        <w:pStyle w:val="10"/>
        <w:tabs>
          <w:tab w:val="left" w:pos="5580"/>
        </w:tabs>
        <w:spacing w:line="30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日期：__________________</w:t>
      </w:r>
    </w:p>
    <w:p w14:paraId="06888082">
      <w:pPr>
        <w:pStyle w:val="10"/>
        <w:spacing w:before="268" w:beforeLines="86" w:line="300" w:lineRule="auto"/>
        <w:ind w:firstLine="480" w:firstLineChars="200"/>
        <w:rPr>
          <w:rFonts w:ascii="Times New Roman" w:hAnsi="Times New Roman" w:eastAsia="宋体" w:cs="Times New Roman"/>
          <w:sz w:val="24"/>
          <w:szCs w:val="24"/>
        </w:rPr>
      </w:pPr>
    </w:p>
    <w:p w14:paraId="3DB6B885">
      <w:pPr>
        <w:pStyle w:val="37"/>
        <w:tabs>
          <w:tab w:val="left" w:pos="420"/>
          <w:tab w:val="left" w:pos="660"/>
        </w:tabs>
        <w:snapToGrid w:val="0"/>
        <w:spacing w:before="0" w:line="400" w:lineRule="exact"/>
        <w:ind w:left="0"/>
        <w:outlineLvl w:val="9"/>
        <w:rPr>
          <w:rFonts w:ascii="Times New Roman" w:hAnsi="Times New Roman" w:eastAsia="宋体" w:cs="Times New Roman"/>
          <w:color w:val="auto"/>
          <w:sz w:val="24"/>
          <w:szCs w:val="24"/>
        </w:rPr>
      </w:pPr>
    </w:p>
    <w:p w14:paraId="25D1901F">
      <w:pPr>
        <w:widowControl/>
        <w:jc w:val="left"/>
        <w:rPr>
          <w:rFonts w:ascii="Times New Roman" w:hAnsi="Times New Roman" w:eastAsia="宋体" w:cs="Times New Roman"/>
          <w:b/>
          <w:bCs/>
          <w:kern w:val="0"/>
          <w:sz w:val="24"/>
          <w:szCs w:val="24"/>
        </w:rPr>
      </w:pPr>
    </w:p>
    <w:p w14:paraId="7392CBE0">
      <w:pPr>
        <w:pStyle w:val="5"/>
        <w:rPr>
          <w:rFonts w:ascii="Times New Roman" w:hAnsi="Times New Roman" w:eastAsia="宋体" w:cs="Times New Roman"/>
          <w:b w:val="0"/>
          <w:sz w:val="24"/>
          <w:szCs w:val="24"/>
        </w:rPr>
      </w:pPr>
      <w:r>
        <w:rPr>
          <w:rFonts w:ascii="Times New Roman" w:hAnsi="Times New Roman" w:eastAsia="宋体" w:cs="Times New Roman"/>
          <w:sz w:val="24"/>
          <w:szCs w:val="24"/>
        </w:rPr>
        <w:br w:type="page"/>
      </w:r>
      <w:bookmarkStart w:id="10" w:name="_Toc29548"/>
      <w:bookmarkStart w:id="11" w:name="_Toc37675383"/>
      <w:bookmarkStart w:id="12" w:name="_Toc14596"/>
      <w:r>
        <w:rPr>
          <w:rFonts w:ascii="Times New Roman" w:hAnsi="Times New Roman" w:eastAsia="宋体" w:cs="Times New Roman"/>
          <w:sz w:val="24"/>
          <w:szCs w:val="24"/>
        </w:rPr>
        <w:t>附件 3  法定代表人/负责人授权书（格式，原件）</w:t>
      </w:r>
      <w:bookmarkEnd w:id="10"/>
      <w:bookmarkEnd w:id="11"/>
      <w:bookmarkEnd w:id="12"/>
    </w:p>
    <w:p w14:paraId="61A44FAD">
      <w:pPr>
        <w:pStyle w:val="10"/>
        <w:spacing w:before="268" w:beforeLines="86" w:line="30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（非法定代表人/负责人签署报名材料的，应提交法定代表人/负责人授权书及其附件；若报名材料由法定代表人/负责人本人签署，则可不用提交。）</w:t>
      </w:r>
    </w:p>
    <w:p w14:paraId="77919110">
      <w:pPr>
        <w:pStyle w:val="10"/>
        <w:spacing w:before="268" w:beforeLines="86" w:line="300" w:lineRule="auto"/>
        <w:rPr>
          <w:rFonts w:ascii="Times New Roman" w:hAnsi="Times New Roman" w:eastAsia="宋体" w:cs="Times New Roman"/>
          <w:sz w:val="24"/>
          <w:szCs w:val="24"/>
        </w:rPr>
      </w:pPr>
    </w:p>
    <w:p w14:paraId="2676FE43">
      <w:pPr>
        <w:jc w:val="center"/>
        <w:rPr>
          <w:rFonts w:ascii="Times New Roman" w:hAnsi="Times New Roman" w:eastAsia="宋体" w:cs="Times New Roman"/>
          <w:b/>
          <w:sz w:val="24"/>
          <w:szCs w:val="24"/>
        </w:rPr>
      </w:pPr>
      <w:bookmarkStart w:id="13" w:name="_Toc16007829"/>
      <w:r>
        <w:rPr>
          <w:rFonts w:ascii="Times New Roman" w:hAnsi="Times New Roman" w:eastAsia="宋体" w:cs="Times New Roman"/>
          <w:b/>
          <w:sz w:val="24"/>
          <w:szCs w:val="24"/>
        </w:rPr>
        <w:t>法定代表人/负责人授权书</w:t>
      </w:r>
      <w:bookmarkEnd w:id="13"/>
    </w:p>
    <w:p w14:paraId="3E051619">
      <w:pPr>
        <w:pStyle w:val="10"/>
        <w:spacing w:line="360" w:lineRule="auto"/>
        <w:ind w:firstLine="210"/>
        <w:rPr>
          <w:rFonts w:ascii="Times New Roman" w:hAnsi="Times New Roman" w:eastAsia="宋体" w:cs="Times New Roman"/>
          <w:sz w:val="24"/>
          <w:szCs w:val="24"/>
        </w:rPr>
      </w:pPr>
      <w:r>
        <w:rPr>
          <w:rFonts w:ascii="Times New Roman" w:hAnsi="Times New Roman" w:eastAsia="宋体" w:cs="Times New Roman"/>
          <w:sz w:val="24"/>
          <w:szCs w:val="24"/>
        </w:rPr>
        <w:t xml:space="preserve">    本授权书声明：注册于</w:t>
      </w:r>
      <w:r>
        <w:rPr>
          <w:rFonts w:ascii="Times New Roman" w:hAnsi="Times New Roman" w:eastAsia="宋体" w:cs="Times New Roman"/>
          <w:sz w:val="24"/>
          <w:szCs w:val="24"/>
          <w:u w:val="single"/>
        </w:rPr>
        <w:t xml:space="preserve">  （国家或地区的名称）   </w:t>
      </w:r>
      <w:r>
        <w:rPr>
          <w:rFonts w:ascii="Times New Roman" w:hAnsi="Times New Roman" w:eastAsia="宋体" w:cs="Times New Roman"/>
          <w:sz w:val="24"/>
          <w:szCs w:val="24"/>
        </w:rPr>
        <w:t>的</w:t>
      </w:r>
      <w:r>
        <w:rPr>
          <w:rFonts w:ascii="Times New Roman" w:hAnsi="Times New Roman" w:eastAsia="宋体" w:cs="Times New Roman"/>
          <w:sz w:val="24"/>
          <w:szCs w:val="24"/>
          <w:u w:val="single"/>
        </w:rPr>
        <w:t xml:space="preserve">   （公司名称）   </w:t>
      </w:r>
      <w:r>
        <w:rPr>
          <w:rFonts w:ascii="Times New Roman" w:hAnsi="Times New Roman" w:eastAsia="宋体" w:cs="Times New Roman"/>
          <w:sz w:val="24"/>
          <w:szCs w:val="24"/>
        </w:rPr>
        <w:t>的在下面签字或盖章的</w:t>
      </w:r>
      <w:r>
        <w:rPr>
          <w:rFonts w:ascii="Times New Roman" w:hAnsi="Times New Roman" w:eastAsia="宋体" w:cs="Times New Roman"/>
          <w:sz w:val="24"/>
          <w:szCs w:val="24"/>
          <w:u w:val="single"/>
        </w:rPr>
        <w:t xml:space="preserve">   （法定代表人/负责人姓名）   </w:t>
      </w:r>
      <w:r>
        <w:rPr>
          <w:rFonts w:ascii="Times New Roman" w:hAnsi="Times New Roman" w:eastAsia="宋体" w:cs="Times New Roman"/>
          <w:sz w:val="24"/>
          <w:szCs w:val="24"/>
        </w:rPr>
        <w:t>代表本公司授权</w:t>
      </w:r>
      <w:r>
        <w:rPr>
          <w:rFonts w:ascii="Times New Roman" w:hAnsi="Times New Roman" w:eastAsia="宋体" w:cs="Times New Roman"/>
          <w:sz w:val="24"/>
          <w:szCs w:val="24"/>
          <w:u w:val="single"/>
        </w:rPr>
        <w:t xml:space="preserve">   （公司名称） </w:t>
      </w:r>
      <w:r>
        <w:rPr>
          <w:rFonts w:ascii="Times New Roman" w:hAnsi="Times New Roman" w:eastAsia="宋体" w:cs="Times New Roman"/>
          <w:sz w:val="24"/>
          <w:szCs w:val="24"/>
        </w:rPr>
        <w:t xml:space="preserve">  的在下面签字或盖章的</w:t>
      </w:r>
      <w:r>
        <w:rPr>
          <w:rFonts w:ascii="Times New Roman" w:hAnsi="Times New Roman" w:eastAsia="宋体" w:cs="Times New Roman"/>
          <w:sz w:val="24"/>
          <w:szCs w:val="24"/>
          <w:u w:val="single"/>
        </w:rPr>
        <w:t xml:space="preserve">    （被授权人的姓名）    </w:t>
      </w:r>
      <w:r>
        <w:rPr>
          <w:rFonts w:ascii="Times New Roman" w:hAnsi="Times New Roman" w:eastAsia="宋体" w:cs="Times New Roman"/>
          <w:sz w:val="24"/>
          <w:szCs w:val="24"/>
        </w:rPr>
        <w:t>为本公司的合法代理人，就</w:t>
      </w:r>
      <w:r>
        <w:rPr>
          <w:rFonts w:ascii="Times New Roman" w:hAnsi="Times New Roman" w:eastAsia="宋体" w:cs="Times New Roman"/>
          <w:sz w:val="24"/>
          <w:szCs w:val="24"/>
          <w:u w:val="single"/>
        </w:rPr>
        <w:t xml:space="preserve">                            </w:t>
      </w:r>
      <w:r>
        <w:rPr>
          <w:rFonts w:ascii="Times New Roman" w:hAnsi="Times New Roman" w:eastAsia="宋体" w:cs="Times New Roman"/>
          <w:sz w:val="24"/>
          <w:szCs w:val="24"/>
        </w:rPr>
        <w:t>的比选，以本公司名义处理一切与之有关的事务。　　</w:t>
      </w:r>
    </w:p>
    <w:p w14:paraId="642D9B0A">
      <w:pPr>
        <w:pStyle w:val="10"/>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本授权书于__________年_____月______日生效，特此声明。</w:t>
      </w:r>
    </w:p>
    <w:p w14:paraId="44A1C64B">
      <w:pPr>
        <w:pStyle w:val="10"/>
        <w:spacing w:before="187" w:beforeLines="60" w:line="360" w:lineRule="auto"/>
        <w:rPr>
          <w:rFonts w:ascii="Times New Roman" w:hAnsi="Times New Roman" w:eastAsia="宋体" w:cs="Times New Roman"/>
          <w:sz w:val="24"/>
          <w:szCs w:val="24"/>
        </w:rPr>
      </w:pPr>
    </w:p>
    <w:p w14:paraId="0D410829">
      <w:pPr>
        <w:pStyle w:val="10"/>
        <w:spacing w:before="187" w:beforeLines="60" w:line="360" w:lineRule="auto"/>
        <w:rPr>
          <w:rFonts w:ascii="Times New Roman" w:hAnsi="Times New Roman" w:eastAsia="宋体" w:cs="Times New Roman"/>
          <w:sz w:val="24"/>
          <w:szCs w:val="24"/>
        </w:rPr>
      </w:pPr>
      <w:r>
        <w:rPr>
          <w:rFonts w:ascii="Times New Roman" w:hAnsi="Times New Roman" w:eastAsia="宋体" w:cs="Times New Roman"/>
          <w:sz w:val="24"/>
          <w:szCs w:val="24"/>
        </w:rPr>
        <w:t>法定代表人/负责人签字或盖章：_______________________________</w:t>
      </w:r>
    </w:p>
    <w:p w14:paraId="12E2C95D">
      <w:pPr>
        <w:pStyle w:val="10"/>
        <w:spacing w:before="187" w:beforeLines="60" w:line="300" w:lineRule="auto"/>
        <w:rPr>
          <w:rFonts w:ascii="Times New Roman" w:hAnsi="Times New Roman" w:eastAsia="宋体" w:cs="Times New Roman"/>
          <w:sz w:val="24"/>
          <w:szCs w:val="24"/>
        </w:rPr>
      </w:pPr>
      <w:r>
        <w:rPr>
          <w:rFonts w:ascii="Times New Roman" w:hAnsi="Times New Roman" w:eastAsia="宋体" w:cs="Times New Roman"/>
          <w:sz w:val="24"/>
          <w:szCs w:val="24"/>
        </w:rPr>
        <w:t>被授权人签字或盖章：_______________________________</w:t>
      </w:r>
    </w:p>
    <w:p w14:paraId="2153BEAB">
      <w:pPr>
        <w:pStyle w:val="10"/>
        <w:spacing w:before="187" w:beforeLines="60" w:line="300" w:lineRule="auto"/>
        <w:rPr>
          <w:rFonts w:ascii="Times New Roman" w:hAnsi="Times New Roman" w:eastAsia="宋体" w:cs="Times New Roman"/>
          <w:sz w:val="24"/>
          <w:szCs w:val="24"/>
        </w:rPr>
      </w:pPr>
      <w:r>
        <w:rPr>
          <w:rFonts w:ascii="Times New Roman" w:hAnsi="Times New Roman" w:eastAsia="宋体" w:cs="Times New Roman"/>
          <w:sz w:val="24"/>
          <w:szCs w:val="24"/>
        </w:rPr>
        <w:t>公司盖章：_______________________________</w:t>
      </w:r>
    </w:p>
    <w:p w14:paraId="24C65D58">
      <w:pPr>
        <w:pStyle w:val="10"/>
        <w:spacing w:before="187" w:beforeLines="60" w:line="300" w:lineRule="auto"/>
        <w:rPr>
          <w:rFonts w:ascii="Times New Roman" w:hAnsi="Times New Roman" w:eastAsia="宋体" w:cs="Times New Roman"/>
          <w:sz w:val="24"/>
          <w:szCs w:val="24"/>
        </w:rPr>
      </w:pPr>
      <w:r>
        <w:rPr>
          <w:rFonts w:ascii="Times New Roman" w:hAnsi="Times New Roman" w:eastAsia="宋体" w:cs="Times New Roman"/>
          <w:sz w:val="24"/>
          <w:szCs w:val="24"/>
        </w:rPr>
        <w:t>附：</w:t>
      </w:r>
    </w:p>
    <w:p w14:paraId="68F7CDC9">
      <w:pPr>
        <w:pStyle w:val="10"/>
        <w:spacing w:before="187" w:beforeLines="60" w:line="300" w:lineRule="auto"/>
        <w:rPr>
          <w:rFonts w:ascii="Times New Roman" w:hAnsi="Times New Roman" w:eastAsia="宋体" w:cs="Times New Roman"/>
          <w:sz w:val="24"/>
          <w:szCs w:val="24"/>
        </w:rPr>
      </w:pPr>
      <w:r>
        <w:rPr>
          <w:rFonts w:ascii="Times New Roman" w:hAnsi="Times New Roman" w:eastAsia="宋体" w:cs="Times New Roman"/>
          <w:sz w:val="24"/>
          <w:szCs w:val="24"/>
        </w:rPr>
        <w:t>被授权人姓名：_______________</w:t>
      </w:r>
    </w:p>
    <w:p w14:paraId="059E898A">
      <w:pPr>
        <w:pStyle w:val="10"/>
        <w:spacing w:before="187" w:beforeLines="60" w:line="300" w:lineRule="auto"/>
        <w:rPr>
          <w:rFonts w:ascii="Times New Roman" w:hAnsi="Times New Roman" w:eastAsia="宋体" w:cs="Times New Roman"/>
          <w:sz w:val="24"/>
          <w:szCs w:val="24"/>
        </w:rPr>
      </w:pPr>
      <w:r>
        <w:rPr>
          <w:rFonts w:ascii="Times New Roman" w:hAnsi="Times New Roman" w:eastAsia="宋体" w:cs="Times New Roman"/>
          <w:sz w:val="24"/>
          <w:szCs w:val="24"/>
        </w:rPr>
        <w:t>职　　　　务：_______________</w:t>
      </w:r>
    </w:p>
    <w:p w14:paraId="2E0F2DBA">
      <w:pPr>
        <w:pStyle w:val="10"/>
        <w:spacing w:before="187" w:beforeLines="60" w:line="300" w:lineRule="auto"/>
        <w:rPr>
          <w:rFonts w:ascii="Times New Roman" w:hAnsi="Times New Roman" w:eastAsia="宋体" w:cs="Times New Roman"/>
          <w:sz w:val="24"/>
          <w:szCs w:val="24"/>
        </w:rPr>
      </w:pPr>
      <w:r>
        <w:rPr>
          <w:rFonts w:ascii="Times New Roman" w:hAnsi="Times New Roman" w:eastAsia="宋体" w:cs="Times New Roman"/>
          <w:sz w:val="24"/>
          <w:szCs w:val="24"/>
        </w:rPr>
        <w:t>电　　　　话：_______________</w:t>
      </w:r>
    </w:p>
    <w:p w14:paraId="75C054F8">
      <w:pPr>
        <w:pStyle w:val="36"/>
      </w:pPr>
      <w:r>
        <w:t>被授权人的身份证明：有效的身份证正反面复印件，或有效的护照复印件。</w:t>
      </w:r>
    </w:p>
    <w:tbl>
      <w:tblPr>
        <w:tblStyle w:val="19"/>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73"/>
        <w:gridCol w:w="4536"/>
      </w:tblGrid>
      <w:tr w14:paraId="21BFA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trPr>
        <w:tc>
          <w:tcPr>
            <w:tcW w:w="4673" w:type="dxa"/>
          </w:tcPr>
          <w:p w14:paraId="6E889FE8">
            <w:pPr>
              <w:tabs>
                <w:tab w:val="left" w:pos="5580"/>
              </w:tabs>
              <w:spacing w:line="360" w:lineRule="auto"/>
              <w:jc w:val="left"/>
              <w:rPr>
                <w:rFonts w:ascii="Times New Roman" w:hAnsi="Times New Roman" w:eastAsia="宋体" w:cs="Times New Roman"/>
                <w:sz w:val="24"/>
                <w:szCs w:val="20"/>
              </w:rPr>
            </w:pPr>
            <w:r>
              <w:rPr>
                <w:rFonts w:ascii="Times New Roman" w:hAnsi="Times New Roman" w:eastAsia="宋体" w:cs="Times New Roman"/>
                <w:sz w:val="24"/>
                <w:szCs w:val="24"/>
              </w:rPr>
              <w:br w:type="page"/>
            </w:r>
          </w:p>
          <w:p w14:paraId="0A6B8431">
            <w:pPr>
              <w:tabs>
                <w:tab w:val="left" w:pos="5580"/>
              </w:tabs>
              <w:spacing w:line="360" w:lineRule="auto"/>
              <w:jc w:val="left"/>
              <w:rPr>
                <w:rFonts w:ascii="Times New Roman" w:hAnsi="Times New Roman" w:eastAsia="宋体" w:cs="Times New Roman"/>
                <w:sz w:val="24"/>
                <w:szCs w:val="20"/>
              </w:rPr>
            </w:pPr>
          </w:p>
          <w:p w14:paraId="59BAF77C">
            <w:pPr>
              <w:tabs>
                <w:tab w:val="left" w:pos="5580"/>
              </w:tabs>
              <w:spacing w:line="360" w:lineRule="auto"/>
              <w:jc w:val="left"/>
              <w:rPr>
                <w:rFonts w:ascii="Times New Roman" w:hAnsi="Times New Roman" w:eastAsia="宋体" w:cs="Times New Roman"/>
                <w:sz w:val="24"/>
                <w:szCs w:val="20"/>
              </w:rPr>
            </w:pPr>
          </w:p>
        </w:tc>
        <w:tc>
          <w:tcPr>
            <w:tcW w:w="4536" w:type="dxa"/>
          </w:tcPr>
          <w:p w14:paraId="74B525E9">
            <w:pPr>
              <w:tabs>
                <w:tab w:val="left" w:pos="5580"/>
              </w:tabs>
              <w:spacing w:line="360" w:lineRule="auto"/>
              <w:jc w:val="left"/>
              <w:rPr>
                <w:rFonts w:ascii="Times New Roman" w:hAnsi="Times New Roman" w:eastAsia="宋体" w:cs="Times New Roman"/>
                <w:sz w:val="24"/>
                <w:szCs w:val="20"/>
              </w:rPr>
            </w:pPr>
          </w:p>
          <w:p w14:paraId="647C61FD">
            <w:pPr>
              <w:tabs>
                <w:tab w:val="left" w:pos="5580"/>
              </w:tabs>
              <w:spacing w:line="360" w:lineRule="auto"/>
              <w:jc w:val="left"/>
              <w:rPr>
                <w:rFonts w:ascii="Times New Roman" w:hAnsi="Times New Roman" w:eastAsia="宋体" w:cs="Times New Roman"/>
                <w:sz w:val="24"/>
                <w:szCs w:val="20"/>
              </w:rPr>
            </w:pPr>
          </w:p>
          <w:p w14:paraId="12C81AFA">
            <w:pPr>
              <w:tabs>
                <w:tab w:val="left" w:pos="5580"/>
              </w:tabs>
              <w:spacing w:line="360" w:lineRule="auto"/>
              <w:jc w:val="left"/>
              <w:rPr>
                <w:rFonts w:ascii="Times New Roman" w:hAnsi="Times New Roman" w:eastAsia="宋体" w:cs="Times New Roman"/>
                <w:sz w:val="24"/>
                <w:szCs w:val="20"/>
              </w:rPr>
            </w:pPr>
          </w:p>
        </w:tc>
      </w:tr>
    </w:tbl>
    <w:p w14:paraId="05789A5C">
      <w:pPr>
        <w:pStyle w:val="5"/>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附件4 </w:t>
      </w:r>
      <w:r>
        <w:rPr>
          <w:rFonts w:ascii="Times New Roman" w:hAnsi="Times New Roman" w:eastAsia="宋体" w:cs="Times New Roman"/>
          <w:sz w:val="24"/>
          <w:szCs w:val="24"/>
        </w:rPr>
        <w:t>本项目的特定资格要求：</w:t>
      </w:r>
    </w:p>
    <w:p w14:paraId="1540E652">
      <w:pPr>
        <w:pStyle w:val="5"/>
        <w:rPr>
          <w:rFonts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4.1</w:t>
      </w:r>
      <w:r>
        <w:rPr>
          <w:rFonts w:hint="eastAsia" w:ascii="Times New Roman" w:hAnsi="Times New Roman" w:eastAsia="宋体" w:cs="Times New Roman"/>
          <w:sz w:val="24"/>
          <w:szCs w:val="24"/>
        </w:rPr>
        <w:t>具有司法行政机关颁发的有效的《律师事务所执业许可证》或《律师事务所分所执业许可证》</w:t>
      </w:r>
      <w:r>
        <w:rPr>
          <w:rFonts w:ascii="Times New Roman" w:hAnsi="Times New Roman" w:eastAsia="宋体" w:cs="Times New Roman"/>
          <w:sz w:val="24"/>
          <w:szCs w:val="24"/>
        </w:rPr>
        <w:t>（复印件，须加盖供应商公章）</w:t>
      </w:r>
    </w:p>
    <w:p w14:paraId="63BA4A18">
      <w:pPr>
        <w:pStyle w:val="5"/>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lang w:val="en-US" w:eastAsia="zh-CN"/>
        </w:rPr>
        <w:t>4.2）在全国律师执业诚信信息公示平台（网址：https://credit.acla.org.cn/）未出现“行政处罚、行业处分、失信惩戒、停业整顿”执业失信记录。</w:t>
      </w:r>
      <w:r>
        <w:rPr>
          <w:rFonts w:hint="eastAsia" w:ascii="Times New Roman" w:hAnsi="Times New Roman" w:eastAsia="宋体" w:cs="Times New Roman"/>
          <w:sz w:val="24"/>
          <w:szCs w:val="24"/>
          <w:highlight w:val="none"/>
        </w:rPr>
        <w:t>（</w:t>
      </w:r>
      <w:r>
        <w:rPr>
          <w:rFonts w:hint="eastAsia" w:ascii="Times New Roman" w:hAnsi="Times New Roman" w:eastAsia="宋体" w:cs="Times New Roman"/>
          <w:sz w:val="24"/>
          <w:szCs w:val="24"/>
          <w:highlight w:val="none"/>
          <w:lang w:val="en-US" w:eastAsia="zh-CN"/>
        </w:rPr>
        <w:t>查询截图</w:t>
      </w:r>
      <w:r>
        <w:rPr>
          <w:rFonts w:hint="eastAsia" w:ascii="Times New Roman" w:hAnsi="Times New Roman" w:eastAsia="宋体" w:cs="Times New Roman"/>
          <w:sz w:val="24"/>
          <w:szCs w:val="24"/>
          <w:highlight w:val="none"/>
        </w:rPr>
        <w:t>加盖供应商公章）。</w:t>
      </w:r>
    </w:p>
    <w:p w14:paraId="44226389">
      <w:pPr>
        <w:pStyle w:val="5"/>
      </w:pPr>
    </w:p>
    <w:p w14:paraId="75D09E98">
      <w:pPr>
        <w:rPr>
          <w:rFonts w:ascii="Times New Roman" w:hAnsi="Times New Roman" w:eastAsia="宋体" w:cs="Times New Roman"/>
          <w:b/>
          <w:bCs/>
          <w:sz w:val="24"/>
          <w:szCs w:val="24"/>
        </w:rPr>
      </w:pPr>
    </w:p>
    <w:p w14:paraId="5F612002">
      <w:pPr>
        <w:widowControl/>
        <w:jc w:val="left"/>
        <w:rPr>
          <w:rFonts w:ascii="Times New Roman" w:hAnsi="Times New Roman" w:eastAsia="宋体" w:cs="Times New Roman"/>
          <w:b/>
          <w:bCs/>
          <w:color w:val="000000"/>
          <w:kern w:val="0"/>
          <w:sz w:val="24"/>
          <w:szCs w:val="24"/>
          <w:shd w:val="clear" w:color="auto" w:fill="FFFFFF"/>
        </w:rPr>
      </w:pPr>
      <w:r>
        <w:rPr>
          <w:rFonts w:ascii="Times New Roman" w:hAnsi="Times New Roman" w:eastAsia="宋体" w:cs="Times New Roman"/>
          <w:color w:val="000000"/>
          <w:sz w:val="24"/>
          <w:szCs w:val="24"/>
          <w:shd w:val="clear" w:color="auto" w:fill="FFFFFF"/>
        </w:rPr>
        <w:br w:type="page"/>
      </w:r>
    </w:p>
    <w:p w14:paraId="2C15D10F">
      <w:pPr>
        <w:pStyle w:val="5"/>
        <w:rPr>
          <w:rFonts w:ascii="Times New Roman" w:hAnsi="Times New Roman" w:eastAsia="宋体" w:cs="Times New Roman"/>
          <w:b w:val="0"/>
          <w:bCs w:val="0"/>
          <w:color w:val="000000"/>
          <w:sz w:val="24"/>
          <w:szCs w:val="24"/>
          <w:shd w:val="clear" w:color="auto" w:fill="FFFFFF"/>
        </w:rPr>
      </w:pPr>
      <w:r>
        <w:rPr>
          <w:rFonts w:ascii="Times New Roman" w:hAnsi="Times New Roman" w:eastAsia="宋体" w:cs="Times New Roman"/>
          <w:color w:val="000000"/>
          <w:sz w:val="24"/>
          <w:szCs w:val="24"/>
          <w:shd w:val="clear" w:color="auto" w:fill="FFFFFF"/>
        </w:rPr>
        <w:t>附件二</w:t>
      </w:r>
      <w:r>
        <w:rPr>
          <w:rFonts w:hint="eastAsia" w:ascii="Times New Roman" w:hAnsi="Times New Roman" w:eastAsia="宋体" w:cs="Times New Roman"/>
          <w:color w:val="000000"/>
          <w:sz w:val="24"/>
          <w:szCs w:val="24"/>
          <w:shd w:val="clear" w:color="auto" w:fill="FFFFFF"/>
        </w:rPr>
        <w:t xml:space="preserve"> 采购需求：</w:t>
      </w:r>
    </w:p>
    <w:p w14:paraId="5C01E83E">
      <w:pPr>
        <w:spacing w:line="360" w:lineRule="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一、项目概况</w:t>
      </w:r>
    </w:p>
    <w:p w14:paraId="50376A6A">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北京市城市管理综合行政执法局重点站区分局主要负责重点站区的城管执法和交通执法的综合行政执法工作,负责制定重点站区城管系统执法工作制度、出具执法文书模板，组织本系统案卷评查工作。负责指导、协调、审核各站区执法大队重大行政执法案件。负责行政执法的行政复议、诉讼、赔偿、强制执行等工作，需要开展专业的业务指导和法律服务工作，为全系统综合行政执法工作提供安全保障和支撑。</w:t>
      </w:r>
    </w:p>
    <w:p w14:paraId="78FA40D1">
      <w:pPr>
        <w:widowControl/>
        <w:spacing w:line="360" w:lineRule="auto"/>
        <w:ind w:firstLine="480" w:firstLineChars="200"/>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常年法律顾问工作服务于重点站区综合行政执法工作，主要内容包括：1.参与城管分局重大行政决策、决定研究，出具法律论证、审核意见书；2.参与城管分局重大行政执法案件的法制审核，并出具审核意见书；3.代理城管分局行政复议、行政诉讼案件；4.参与城管分局执法案件听证、信访、强制执行等工作； 5.参与城管分局重大、疑难、突发性、群体性事件或法律纠纷的应对处理，出具法律意见书；6.协助城管分局审核重大合同；7.协助城管分局提供法制培训、普法宣传等服务；8.向城管分局日常管理中遇到的法律问题提供专业法律意见和建议；9.每月定期到城管分局办公地点提供法律驻队服务；10.城管分局交办的其他法律事务。</w:t>
      </w:r>
    </w:p>
    <w:p w14:paraId="339589BD">
      <w:pPr>
        <w:spacing w:line="360" w:lineRule="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二、项目实施内容</w:t>
      </w:r>
    </w:p>
    <w:p w14:paraId="0AD1DC39">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城管分局根据《中华人民共和国律师法》《中华人民共和国民法典》等有关规定，聘用律所及其律师团队为本行政机关提供常年法律顾问服务，以事实为根据，以法律为准绳，认真维护城管分局的合法权益。</w:t>
      </w:r>
    </w:p>
    <w:p w14:paraId="2FFA31E7">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服务范围主要包含以下方面：</w:t>
      </w:r>
    </w:p>
    <w:p w14:paraId="2C59316D">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（一）为城管分局提供法律咨询服务，解答日常工作中出现的各种法律问题，必要时出具法律意见书，形式包括但不限于电话、微信、邮件咨询、现场与律师当面咨询及来所与律师当面咨询等；</w:t>
      </w:r>
    </w:p>
    <w:p w14:paraId="74C9F983">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（二）应城管分局要求，向城管分局提供与其工作相关的法律法规信息；</w:t>
      </w:r>
    </w:p>
    <w:p w14:paraId="03760B68">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 xml:space="preserve">（三）协助城管分局草拟、审查、修改各类合同及相关文件，保证其合法性、规范性和合理性，参加相关法律事务的协商或谈判； </w:t>
      </w:r>
    </w:p>
    <w:p w14:paraId="62A04F26">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（四）按照城管分局要求，参与协助城管分局进行案卷评查工作；</w:t>
      </w:r>
    </w:p>
    <w:p w14:paraId="3B0951C0">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（五）受聘律所协助城管分局处理行政争议案件，包括复议阶段、一审阶段、二审阶段、再审阶段及强制执行阶段等；</w:t>
      </w:r>
    </w:p>
    <w:p w14:paraId="6F9210A2">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六）应城管分局要求，就城管分局已经、面临或者可能发生的纠纷，进行法律论证，提出解决方案，出具律师函，发表律师意见，或者协助城管分局参与非诉讼谈判、听证、信访、调解案件并发表专业法律意见；</w:t>
      </w:r>
    </w:p>
    <w:p w14:paraId="5195078B">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（七）法律关系复杂的行政案件在作出行政处罚决定前，受聘律所应提前开始法制审核，协助城管分局就案件的事实认定、定性和法律适用方面出具书面法律意见书；</w:t>
      </w:r>
    </w:p>
    <w:p w14:paraId="5D4F4087">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（八）针对城管分局执法过程中遇到的常见法律问题及相关领域衍生问题、相关的热点法律问题制定专门的法律培训讲座，包括但不限于行政法（复议、诉讼法）体系有关内容；</w:t>
      </w:r>
    </w:p>
    <w:p w14:paraId="446B5D80">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（九）受聘律所应协助城管分局开展普法宣传，并协助城管分局制作相关学习课件，包括但不限于法治理论、部门法体系、个别法专门课件等；</w:t>
      </w:r>
    </w:p>
    <w:p w14:paraId="65EEC4E6">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（十）受聘律所每月提供1天专业律师（正式执业律师）驻队服务，以城管分局机关为主；各大队有实际需求时，可至站区大队实际驻点办公；</w:t>
      </w:r>
    </w:p>
    <w:p w14:paraId="14049DC0">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（十一）根据城管分局需求，组织城管分局（或兄弟单位）干部前往受聘律所（或其他律所）、受聘律所（或其他律所）职工来城管分局（或兄弟单位）开展交流座谈，交流行政执法和律师执业心得体会；</w:t>
      </w:r>
    </w:p>
    <w:p w14:paraId="10247B56">
      <w:pPr>
        <w:tabs>
          <w:tab w:val="left" w:pos="567"/>
        </w:tabs>
        <w:autoSpaceDE w:val="0"/>
        <w:autoSpaceDN w:val="0"/>
        <w:adjustRightInd w:val="0"/>
        <w:snapToGrid w:val="0"/>
        <w:spacing w:line="360" w:lineRule="auto"/>
        <w:ind w:firstLine="480" w:firstLineChars="200"/>
        <w:jc w:val="left"/>
        <w:rPr>
          <w:rFonts w:ascii="Times New Roman" w:hAnsi="Times New Roman" w:eastAsia="宋体" w:cs="Times New Roman"/>
          <w:sz w:val="24"/>
          <w:szCs w:val="24"/>
        </w:rPr>
      </w:pPr>
      <w:r>
        <w:rPr>
          <w:rFonts w:ascii="Times New Roman" w:hAnsi="Times New Roman" w:eastAsia="宋体" w:cs="Times New Roman"/>
          <w:sz w:val="24"/>
          <w:szCs w:val="24"/>
        </w:rPr>
        <w:t>（十二）经协商一致，城管分局要求受聘律所提供的其他法律服务。</w:t>
      </w:r>
    </w:p>
    <w:p w14:paraId="629C48A3">
      <w:pPr>
        <w:spacing w:line="36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三、实施形式</w:t>
      </w:r>
    </w:p>
    <w:p w14:paraId="209B9079">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根据工作实际，受聘律所需确定1名律师作为城管分局咨询业务联络人，并确定至少3名以上执业律师</w:t>
      </w:r>
      <w:r>
        <w:rPr>
          <w:rFonts w:hint="eastAsia" w:ascii="Times New Roman" w:hAnsi="Times New Roman" w:eastAsia="宋体" w:cs="Times New Roman"/>
          <w:sz w:val="24"/>
          <w:szCs w:val="24"/>
        </w:rPr>
        <w:t>（其中精通行政法律关系的律师应不少于2名）</w:t>
      </w:r>
      <w:r>
        <w:rPr>
          <w:rFonts w:ascii="Times New Roman" w:hAnsi="Times New Roman" w:eastAsia="宋体" w:cs="Times New Roman"/>
          <w:sz w:val="24"/>
          <w:szCs w:val="24"/>
        </w:rPr>
        <w:t>的服务团队，满足城管分局日常需求，根据需求内容及反馈形式要求，主要通过以下形式开展合作：</w:t>
      </w:r>
    </w:p>
    <w:p w14:paraId="0B024415">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（一）咨询谈话类</w:t>
      </w:r>
    </w:p>
    <w:p w14:paraId="70FA9019">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对于通过咨询谈话形式就可以满足城管分局业务需求的，受聘律所可以通过电话咨询、双方面谈、邮件咨询为城管分局提供日常法律咨询服务。对于涉及城管分局特有问题、事件、案例的，应避免或尽量减少微信等易泄密途径沟通，以确保城管分局的执法安全。</w:t>
      </w:r>
    </w:p>
    <w:p w14:paraId="5777114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（二）书面意见类</w:t>
      </w:r>
    </w:p>
    <w:p w14:paraId="0DDFD1DA">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对于仅通过咨询谈话无法可以满足城管分局业务需求的，例如重大合同、重大案件等业务，城管分局应将需审核反馈的材料通过邮件、京办、OA办公系统（根据权限申请情况实际确定）及时、完整、真实的传递给受聘律所，律所需在确定好的时限内书面反馈法律意见，并加盖律所印章。律所审核过程中应尽职尽责，注重保密义务。</w:t>
      </w:r>
    </w:p>
    <w:p w14:paraId="5E825CFA">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（三）业务代理类</w:t>
      </w:r>
    </w:p>
    <w:p w14:paraId="4A35D948">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针对城管分局产生的诉讼及仲裁案件，受聘律所会应指派资深律师协助处理解决争议，包括但不限于诉前律了解案情、研究讨论、出具书面的诉讼方案、按上级指导部门修改意见等全流程服务，原则上每阶段代理案件不可更换律师。</w:t>
      </w:r>
    </w:p>
    <w:p w14:paraId="0EDD7FAB">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（四）上门服务类</w:t>
      </w:r>
    </w:p>
    <w:p w14:paraId="627774CC">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 xml:space="preserve">    对于特定事项，例如重大案件研讨、重大事项现场勘探会商、重大合同咨询等，受聘律所应当在约定的时间指派专业对口的律师到达指定场所，并就讨论事项发表专业意见，对于需核查确定相关事项再发表意见的，应及时核实并反馈，</w:t>
      </w:r>
    </w:p>
    <w:p w14:paraId="1BC8A05C">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（五）培训宣传类</w:t>
      </w:r>
    </w:p>
    <w:p w14:paraId="7ABCB2A0">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受聘律所应当结合城管分局职责权限有针对性的定制讲座或协助进行普法宣传，安排相关专业律师与城管分局对接，并按照城管分局要求准备讲稿、制作演示文稿、协助制作普法材料、设计普法展板，协助撰写相关普法小文章，到城管分局进行线下培训，或者采取线上视频方式远程开展讲座进行培训等。必要时也可邀请城管分局前往律所在地开展培训宣传活动。</w:t>
      </w:r>
    </w:p>
    <w:p w14:paraId="341D8FB9">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受聘律所应在每个合作年度内按照固定时间节点（月季年）定期前为城管分局提供年度工作报告，工作报告包含法律服务情况、工作总量及工作量明细，并针对常见业务类型及各项目法律事务提出法律风险及相关建议。</w:t>
      </w:r>
    </w:p>
    <w:p w14:paraId="6D1F7FC0">
      <w:pPr>
        <w:spacing w:line="360" w:lineRule="auto"/>
        <w:ind w:firstLine="482" w:firstLineChars="20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四、报价</w:t>
      </w:r>
      <w:r>
        <w:rPr>
          <w:rFonts w:ascii="Times New Roman" w:hAnsi="Times New Roman" w:eastAsia="宋体" w:cs="Times New Roman"/>
          <w:b/>
          <w:bCs/>
          <w:sz w:val="24"/>
          <w:szCs w:val="24"/>
        </w:rPr>
        <w:t>明细</w:t>
      </w:r>
    </w:p>
    <w:tbl>
      <w:tblPr>
        <w:tblStyle w:val="19"/>
        <w:tblW w:w="8833" w:type="dxa"/>
        <w:tblInd w:w="0" w:type="dxa"/>
        <w:tblLayout w:type="fixed"/>
        <w:tblCellMar>
          <w:top w:w="0" w:type="dxa"/>
          <w:left w:w="0" w:type="dxa"/>
          <w:bottom w:w="0" w:type="dxa"/>
          <w:right w:w="0" w:type="dxa"/>
        </w:tblCellMar>
      </w:tblPr>
      <w:tblGrid>
        <w:gridCol w:w="480"/>
        <w:gridCol w:w="485"/>
        <w:gridCol w:w="3709"/>
        <w:gridCol w:w="696"/>
        <w:gridCol w:w="709"/>
        <w:gridCol w:w="995"/>
        <w:gridCol w:w="1091"/>
        <w:gridCol w:w="668"/>
      </w:tblGrid>
      <w:tr w14:paraId="702F5FE6">
        <w:tblPrEx>
          <w:tblCellMar>
            <w:top w:w="0" w:type="dxa"/>
            <w:left w:w="0" w:type="dxa"/>
            <w:bottom w:w="0" w:type="dxa"/>
            <w:right w:w="0" w:type="dxa"/>
          </w:tblCellMar>
        </w:tblPrEx>
        <w:trPr>
          <w:trHeight w:val="450" w:hRule="atLeast"/>
        </w:trPr>
        <w:tc>
          <w:tcPr>
            <w:tcW w:w="480" w:type="dxa"/>
            <w:vMerge w:val="restart"/>
            <w:tcBorders>
              <w:top w:val="single" w:color="auto" w:sz="4" w:space="0"/>
              <w:left w:val="single" w:color="auto" w:sz="4" w:space="0"/>
              <w:bottom w:val="single" w:color="auto" w:sz="4" w:space="0"/>
              <w:right w:val="single" w:color="auto" w:sz="4" w:space="0"/>
            </w:tcBorders>
            <w:shd w:val="clear" w:color="000000" w:fill="C0C0C0"/>
            <w:tcMar>
              <w:top w:w="15" w:type="dxa"/>
              <w:left w:w="15" w:type="dxa"/>
              <w:right w:w="15" w:type="dxa"/>
            </w:tcMar>
            <w:vAlign w:val="center"/>
          </w:tcPr>
          <w:p w14:paraId="6C74D6E4">
            <w:pPr>
              <w:widowControl/>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序号</w:t>
            </w:r>
          </w:p>
        </w:tc>
        <w:tc>
          <w:tcPr>
            <w:tcW w:w="485" w:type="dxa"/>
            <w:vMerge w:val="restart"/>
            <w:tcBorders>
              <w:top w:val="single" w:color="auto" w:sz="4" w:space="0"/>
              <w:left w:val="single" w:color="auto" w:sz="4" w:space="0"/>
              <w:bottom w:val="single" w:color="auto" w:sz="4" w:space="0"/>
              <w:right w:val="single" w:color="auto" w:sz="4" w:space="0"/>
            </w:tcBorders>
            <w:shd w:val="clear" w:color="000000" w:fill="C0C0C0"/>
            <w:tcMar>
              <w:top w:w="15" w:type="dxa"/>
              <w:left w:w="15" w:type="dxa"/>
              <w:right w:w="15" w:type="dxa"/>
            </w:tcMar>
            <w:vAlign w:val="center"/>
          </w:tcPr>
          <w:p w14:paraId="5964E9A1">
            <w:pPr>
              <w:widowControl/>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项目名称</w:t>
            </w:r>
          </w:p>
        </w:tc>
        <w:tc>
          <w:tcPr>
            <w:tcW w:w="3709" w:type="dxa"/>
            <w:vMerge w:val="restart"/>
            <w:tcBorders>
              <w:top w:val="single" w:color="auto" w:sz="4" w:space="0"/>
              <w:left w:val="single" w:color="auto" w:sz="4" w:space="0"/>
              <w:bottom w:val="single" w:color="auto" w:sz="4" w:space="0"/>
              <w:right w:val="single" w:color="auto" w:sz="4" w:space="0"/>
            </w:tcBorders>
            <w:shd w:val="clear" w:color="000000" w:fill="C0C0C0"/>
            <w:tcMar>
              <w:top w:w="15" w:type="dxa"/>
              <w:left w:w="15" w:type="dxa"/>
              <w:right w:w="15" w:type="dxa"/>
            </w:tcMar>
            <w:vAlign w:val="center"/>
          </w:tcPr>
          <w:p w14:paraId="0F63A89F">
            <w:pPr>
              <w:widowControl/>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项目明细</w:t>
            </w:r>
          </w:p>
        </w:tc>
        <w:tc>
          <w:tcPr>
            <w:tcW w:w="696" w:type="dxa"/>
            <w:vMerge w:val="restart"/>
            <w:tcBorders>
              <w:top w:val="single" w:color="auto" w:sz="4" w:space="0"/>
              <w:left w:val="single" w:color="auto" w:sz="4" w:space="0"/>
              <w:bottom w:val="single" w:color="auto" w:sz="4" w:space="0"/>
              <w:right w:val="single" w:color="auto" w:sz="4" w:space="0"/>
            </w:tcBorders>
            <w:shd w:val="clear" w:color="000000" w:fill="C0C0C0"/>
            <w:tcMar>
              <w:top w:w="15" w:type="dxa"/>
              <w:left w:w="15" w:type="dxa"/>
              <w:right w:w="15" w:type="dxa"/>
            </w:tcMar>
            <w:vAlign w:val="center"/>
          </w:tcPr>
          <w:p w14:paraId="7D489B26">
            <w:pPr>
              <w:widowControl/>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单位</w:t>
            </w:r>
          </w:p>
        </w:tc>
        <w:tc>
          <w:tcPr>
            <w:tcW w:w="2795" w:type="dxa"/>
            <w:gridSpan w:val="3"/>
            <w:tcBorders>
              <w:top w:val="single" w:color="auto" w:sz="4" w:space="0"/>
              <w:left w:val="nil"/>
              <w:bottom w:val="single" w:color="auto" w:sz="4" w:space="0"/>
              <w:right w:val="single" w:color="auto" w:sz="4" w:space="0"/>
            </w:tcBorders>
            <w:shd w:val="clear" w:color="000000" w:fill="C0C0C0"/>
            <w:tcMar>
              <w:top w:w="15" w:type="dxa"/>
              <w:left w:w="15" w:type="dxa"/>
              <w:right w:w="15" w:type="dxa"/>
            </w:tcMar>
            <w:vAlign w:val="center"/>
          </w:tcPr>
          <w:p w14:paraId="6574F444">
            <w:pPr>
              <w:widowControl/>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数量</w:t>
            </w:r>
          </w:p>
        </w:tc>
        <w:tc>
          <w:tcPr>
            <w:tcW w:w="668" w:type="dxa"/>
            <w:vMerge w:val="restart"/>
            <w:tcBorders>
              <w:top w:val="single" w:color="auto" w:sz="4" w:space="0"/>
              <w:left w:val="single" w:color="auto" w:sz="4" w:space="0"/>
              <w:bottom w:val="single" w:color="000000" w:sz="4" w:space="0"/>
              <w:right w:val="single" w:color="auto" w:sz="4" w:space="0"/>
            </w:tcBorders>
            <w:shd w:val="clear" w:color="000000" w:fill="C0C0C0"/>
            <w:tcMar>
              <w:top w:w="15" w:type="dxa"/>
              <w:left w:w="15" w:type="dxa"/>
              <w:right w:w="15" w:type="dxa"/>
            </w:tcMar>
            <w:vAlign w:val="center"/>
          </w:tcPr>
          <w:p w14:paraId="52CBD175">
            <w:pPr>
              <w:widowControl/>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备注</w:t>
            </w:r>
          </w:p>
        </w:tc>
      </w:tr>
      <w:tr w14:paraId="5FB80A72">
        <w:tblPrEx>
          <w:tblCellMar>
            <w:top w:w="0" w:type="dxa"/>
            <w:left w:w="0" w:type="dxa"/>
            <w:bottom w:w="0" w:type="dxa"/>
            <w:right w:w="0" w:type="dxa"/>
          </w:tblCellMar>
        </w:tblPrEx>
        <w:trPr>
          <w:trHeight w:val="735" w:hRule="atLeast"/>
        </w:trPr>
        <w:tc>
          <w:tcPr>
            <w:tcW w:w="480" w:type="dxa"/>
            <w:vMerge w:val="continue"/>
            <w:tcBorders>
              <w:top w:val="single" w:color="auto" w:sz="4" w:space="0"/>
              <w:left w:val="single" w:color="auto" w:sz="4" w:space="0"/>
              <w:bottom w:val="single" w:color="auto" w:sz="4" w:space="0"/>
              <w:right w:val="single" w:color="auto" w:sz="4" w:space="0"/>
            </w:tcBorders>
            <w:shd w:val="clear" w:color="000000" w:fill="C0C0C0"/>
            <w:tcMar>
              <w:top w:w="15" w:type="dxa"/>
              <w:left w:w="15" w:type="dxa"/>
              <w:right w:w="15" w:type="dxa"/>
            </w:tcMar>
            <w:vAlign w:val="center"/>
          </w:tcPr>
          <w:p w14:paraId="647EF80F">
            <w:pPr>
              <w:jc w:val="center"/>
              <w:rPr>
                <w:rFonts w:hint="eastAsia" w:ascii="宋体" w:hAnsi="宋体" w:eastAsia="宋体" w:cs="宋体"/>
                <w:b/>
                <w:color w:val="000000"/>
                <w:sz w:val="20"/>
                <w:szCs w:val="20"/>
              </w:rPr>
            </w:pPr>
          </w:p>
        </w:tc>
        <w:tc>
          <w:tcPr>
            <w:tcW w:w="485" w:type="dxa"/>
            <w:vMerge w:val="continue"/>
            <w:tcBorders>
              <w:top w:val="single" w:color="auto" w:sz="4" w:space="0"/>
              <w:left w:val="single" w:color="auto" w:sz="4" w:space="0"/>
              <w:bottom w:val="single" w:color="auto" w:sz="4" w:space="0"/>
              <w:right w:val="single" w:color="auto" w:sz="4" w:space="0"/>
            </w:tcBorders>
            <w:shd w:val="clear" w:color="000000" w:fill="C0C0C0"/>
            <w:tcMar>
              <w:top w:w="15" w:type="dxa"/>
              <w:left w:w="15" w:type="dxa"/>
              <w:right w:w="15" w:type="dxa"/>
            </w:tcMar>
            <w:vAlign w:val="center"/>
          </w:tcPr>
          <w:p w14:paraId="75FF3AE0">
            <w:pPr>
              <w:jc w:val="center"/>
              <w:rPr>
                <w:rFonts w:hint="eastAsia" w:ascii="宋体" w:hAnsi="宋体" w:eastAsia="宋体" w:cs="宋体"/>
                <w:b/>
                <w:color w:val="000000"/>
                <w:sz w:val="20"/>
                <w:szCs w:val="20"/>
              </w:rPr>
            </w:pPr>
          </w:p>
        </w:tc>
        <w:tc>
          <w:tcPr>
            <w:tcW w:w="3709" w:type="dxa"/>
            <w:vMerge w:val="continue"/>
            <w:tcBorders>
              <w:top w:val="single" w:color="auto" w:sz="4" w:space="0"/>
              <w:left w:val="single" w:color="auto" w:sz="4" w:space="0"/>
              <w:bottom w:val="single" w:color="auto" w:sz="4" w:space="0"/>
              <w:right w:val="single" w:color="auto" w:sz="4" w:space="0"/>
            </w:tcBorders>
            <w:shd w:val="clear" w:color="000000" w:fill="C0C0C0"/>
            <w:tcMar>
              <w:top w:w="15" w:type="dxa"/>
              <w:left w:w="15" w:type="dxa"/>
              <w:right w:w="15" w:type="dxa"/>
            </w:tcMar>
            <w:vAlign w:val="center"/>
          </w:tcPr>
          <w:p w14:paraId="5B82A500">
            <w:pPr>
              <w:jc w:val="center"/>
              <w:rPr>
                <w:rFonts w:hint="eastAsia" w:ascii="宋体" w:hAnsi="宋体" w:eastAsia="宋体" w:cs="宋体"/>
                <w:b/>
                <w:color w:val="000000"/>
                <w:sz w:val="20"/>
                <w:szCs w:val="20"/>
              </w:rPr>
            </w:pPr>
          </w:p>
        </w:tc>
        <w:tc>
          <w:tcPr>
            <w:tcW w:w="696" w:type="dxa"/>
            <w:vMerge w:val="continue"/>
            <w:tcBorders>
              <w:top w:val="single" w:color="auto" w:sz="4" w:space="0"/>
              <w:left w:val="single" w:color="auto" w:sz="4" w:space="0"/>
              <w:bottom w:val="single" w:color="auto" w:sz="4" w:space="0"/>
              <w:right w:val="single" w:color="auto" w:sz="4" w:space="0"/>
            </w:tcBorders>
            <w:shd w:val="clear" w:color="000000" w:fill="C0C0C0"/>
            <w:tcMar>
              <w:top w:w="15" w:type="dxa"/>
              <w:left w:w="15" w:type="dxa"/>
              <w:right w:w="15" w:type="dxa"/>
            </w:tcMar>
            <w:vAlign w:val="center"/>
          </w:tcPr>
          <w:p w14:paraId="3E00D421">
            <w:pPr>
              <w:jc w:val="center"/>
              <w:rPr>
                <w:rFonts w:hint="eastAsia" w:ascii="宋体" w:hAnsi="宋体" w:eastAsia="宋体" w:cs="宋体"/>
                <w:b/>
                <w:color w:val="000000"/>
                <w:sz w:val="20"/>
                <w:szCs w:val="20"/>
              </w:rPr>
            </w:pPr>
          </w:p>
        </w:tc>
        <w:tc>
          <w:tcPr>
            <w:tcW w:w="709" w:type="dxa"/>
            <w:tcBorders>
              <w:top w:val="nil"/>
              <w:left w:val="nil"/>
              <w:bottom w:val="single" w:color="auto" w:sz="4" w:space="0"/>
              <w:right w:val="single" w:color="auto" w:sz="4" w:space="0"/>
            </w:tcBorders>
            <w:shd w:val="clear" w:color="000000" w:fill="C0C0C0"/>
            <w:tcMar>
              <w:top w:w="15" w:type="dxa"/>
              <w:left w:w="15" w:type="dxa"/>
              <w:right w:w="15" w:type="dxa"/>
            </w:tcMar>
            <w:vAlign w:val="center"/>
          </w:tcPr>
          <w:p w14:paraId="40D6DBBE">
            <w:pPr>
              <w:widowControl/>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　</w:t>
            </w:r>
          </w:p>
        </w:tc>
        <w:tc>
          <w:tcPr>
            <w:tcW w:w="995" w:type="dxa"/>
            <w:tcBorders>
              <w:top w:val="nil"/>
              <w:left w:val="nil"/>
              <w:bottom w:val="single" w:color="auto" w:sz="4" w:space="0"/>
              <w:right w:val="single" w:color="auto" w:sz="4" w:space="0"/>
            </w:tcBorders>
            <w:shd w:val="clear" w:color="000000" w:fill="C0C0C0"/>
            <w:tcMar>
              <w:top w:w="15" w:type="dxa"/>
              <w:left w:w="15" w:type="dxa"/>
              <w:right w:w="15" w:type="dxa"/>
            </w:tcMar>
            <w:vAlign w:val="center"/>
          </w:tcPr>
          <w:p w14:paraId="0DB8D521">
            <w:pPr>
              <w:widowControl/>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单价（元，人民币）</w:t>
            </w:r>
          </w:p>
        </w:tc>
        <w:tc>
          <w:tcPr>
            <w:tcW w:w="1091" w:type="dxa"/>
            <w:tcBorders>
              <w:top w:val="nil"/>
              <w:left w:val="nil"/>
              <w:bottom w:val="single" w:color="auto" w:sz="4" w:space="0"/>
              <w:right w:val="single" w:color="auto" w:sz="4" w:space="0"/>
            </w:tcBorders>
            <w:shd w:val="clear" w:color="000000" w:fill="C0C0C0"/>
            <w:tcMar>
              <w:top w:w="15" w:type="dxa"/>
              <w:left w:w="15" w:type="dxa"/>
              <w:right w:w="15" w:type="dxa"/>
            </w:tcMar>
            <w:vAlign w:val="center"/>
          </w:tcPr>
          <w:p w14:paraId="06D502F2">
            <w:pPr>
              <w:widowControl/>
              <w:jc w:val="center"/>
              <w:textAlignment w:val="center"/>
              <w:rPr>
                <w:rFonts w:hint="eastAsia" w:ascii="宋体" w:hAnsi="宋体" w:eastAsia="宋体" w:cs="宋体"/>
                <w:b/>
                <w:color w:val="000000"/>
                <w:sz w:val="20"/>
                <w:szCs w:val="20"/>
              </w:rPr>
            </w:pPr>
            <w:r>
              <w:rPr>
                <w:rFonts w:hint="eastAsia" w:ascii="宋体" w:hAnsi="宋体" w:eastAsia="宋体" w:cs="宋体"/>
                <w:b/>
                <w:color w:val="000000"/>
                <w:kern w:val="0"/>
                <w:sz w:val="20"/>
                <w:szCs w:val="20"/>
                <w:lang w:bidi="ar"/>
              </w:rPr>
              <w:t>总价（元，人民币）</w:t>
            </w:r>
          </w:p>
        </w:tc>
        <w:tc>
          <w:tcPr>
            <w:tcW w:w="668" w:type="dxa"/>
            <w:vMerge w:val="continue"/>
            <w:tcBorders>
              <w:top w:val="single" w:color="auto" w:sz="4" w:space="0"/>
              <w:left w:val="single" w:color="auto" w:sz="4" w:space="0"/>
              <w:bottom w:val="single" w:color="000000" w:sz="4" w:space="0"/>
              <w:right w:val="single" w:color="auto" w:sz="4" w:space="0"/>
            </w:tcBorders>
            <w:shd w:val="clear" w:color="000000" w:fill="C0C0C0"/>
            <w:tcMar>
              <w:top w:w="15" w:type="dxa"/>
              <w:left w:w="15" w:type="dxa"/>
              <w:right w:w="15" w:type="dxa"/>
            </w:tcMar>
            <w:vAlign w:val="center"/>
          </w:tcPr>
          <w:p w14:paraId="34DEBAFB">
            <w:pPr>
              <w:jc w:val="center"/>
              <w:rPr>
                <w:rFonts w:hint="eastAsia" w:ascii="宋体" w:hAnsi="宋体" w:eastAsia="宋体" w:cs="宋体"/>
                <w:b/>
                <w:color w:val="000000"/>
                <w:sz w:val="20"/>
                <w:szCs w:val="20"/>
              </w:rPr>
            </w:pPr>
          </w:p>
        </w:tc>
      </w:tr>
      <w:tr w14:paraId="231B24D0">
        <w:tblPrEx>
          <w:tblCellMar>
            <w:top w:w="0" w:type="dxa"/>
            <w:left w:w="0" w:type="dxa"/>
            <w:bottom w:w="0" w:type="dxa"/>
            <w:right w:w="0" w:type="dxa"/>
          </w:tblCellMar>
        </w:tblPrEx>
        <w:trPr>
          <w:trHeight w:val="1455"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32759A6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64B0EC8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法律咨询</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726E0C91">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为采购人提供法律咨询服务，解答日常工作中出现的各种法律问题，必要时出具法律意见书，形式包括但不限于电话、微信、邮件咨询、现场与律师当面咨询及来所与律师当面咨询等。</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02E5129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小时</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2907AEE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无限制</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26CECC83">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66888538">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1E6BA81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19D99CD3">
        <w:tblPrEx>
          <w:tblCellMar>
            <w:top w:w="0" w:type="dxa"/>
            <w:left w:w="0" w:type="dxa"/>
            <w:bottom w:w="0" w:type="dxa"/>
            <w:right w:w="0" w:type="dxa"/>
          </w:tblCellMar>
        </w:tblPrEx>
        <w:trPr>
          <w:trHeight w:val="495"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635FFF7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74D8C2D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提供法律法规信息</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3AB76B93">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应采购人要求，向采购人提供与其工作相关的法律法规信息。</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29A6CC8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次数</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7F0146F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无限制</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6F0D199F">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649CCE23">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6E9D0BC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4E6C81E8">
        <w:tblPrEx>
          <w:tblCellMar>
            <w:top w:w="0" w:type="dxa"/>
            <w:left w:w="0" w:type="dxa"/>
            <w:bottom w:w="0" w:type="dxa"/>
            <w:right w:w="0" w:type="dxa"/>
          </w:tblCellMar>
        </w:tblPrEx>
        <w:trPr>
          <w:trHeight w:val="975"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4C6201B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66E9037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合同及相关文件审查</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14364C8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协助采购人草拟、审查、修改各类合同及相关文件，保证其合法性、规范性和合理性，参加相关法律事务的协商或谈判。</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022303F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份</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145C705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25</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394F0111">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26E8C7E3">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4B4919B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66D83775">
        <w:tblPrEx>
          <w:tblCellMar>
            <w:top w:w="0" w:type="dxa"/>
            <w:left w:w="0" w:type="dxa"/>
            <w:bottom w:w="0" w:type="dxa"/>
            <w:right w:w="0" w:type="dxa"/>
          </w:tblCellMar>
        </w:tblPrEx>
        <w:trPr>
          <w:trHeight w:val="495"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33C087D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4</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7C28CFF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案卷评查</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44BE6CA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按照采购人要求，参与协助采购人进行案卷评查工作。</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585A1DC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份</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1434309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无限制</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31398CB1">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07D728BD">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6442843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696A9A1E">
        <w:tblPrEx>
          <w:tblCellMar>
            <w:top w:w="0" w:type="dxa"/>
            <w:left w:w="0" w:type="dxa"/>
            <w:bottom w:w="0" w:type="dxa"/>
            <w:right w:w="0" w:type="dxa"/>
          </w:tblCellMar>
        </w:tblPrEx>
        <w:trPr>
          <w:trHeight w:val="735"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0FD463C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6204FF8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行政代理</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74CB619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协助采购人处理行政争议案件，包括复议阶段、一审阶段、二审阶段及强制执行阶段等。</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396ABFC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阶段</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4F4B456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25</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15B3392C">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17A506E8">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3106B56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61D017B0">
        <w:tblPrEx>
          <w:tblCellMar>
            <w:top w:w="0" w:type="dxa"/>
            <w:left w:w="0" w:type="dxa"/>
            <w:bottom w:w="0" w:type="dxa"/>
            <w:right w:w="0" w:type="dxa"/>
          </w:tblCellMar>
        </w:tblPrEx>
        <w:trPr>
          <w:trHeight w:val="1455"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39A75F5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650182C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参与可能发生的纠纷的处理</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0602843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应采购人要求，就采购人已经、面临或者可能发生的纠纷，进行法律论证，提出解决方案，出具律师函，发表律师意见，或者协助采购人参与非诉讼谈判、听证、信访、调解案件并发表专业法律意见。</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2996810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0DE1B87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276ED140">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615E4F2D">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7A1063C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43B48722">
        <w:tblPrEx>
          <w:tblCellMar>
            <w:top w:w="0" w:type="dxa"/>
            <w:left w:w="0" w:type="dxa"/>
            <w:bottom w:w="0" w:type="dxa"/>
            <w:right w:w="0" w:type="dxa"/>
          </w:tblCellMar>
        </w:tblPrEx>
        <w:trPr>
          <w:trHeight w:val="264"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0729B1D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7</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6598B5C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出具书面法律意见书</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2E82C5B3">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法律关系复杂的行政案件在作出行政处罚决定前，提前开始法制审核，协助采购人就案件的事实认定、定性和法律适用方面出具书面法律意见书。</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69E72A2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份</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6449415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25</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695C3CEF">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129A7B9D">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auto" w:sz="12" w:space="0"/>
              <w:right w:val="single" w:color="000000" w:sz="8" w:space="0"/>
            </w:tcBorders>
            <w:tcMar>
              <w:top w:w="15" w:type="dxa"/>
              <w:left w:w="15" w:type="dxa"/>
              <w:right w:w="15" w:type="dxa"/>
            </w:tcMar>
            <w:vAlign w:val="center"/>
          </w:tcPr>
          <w:p w14:paraId="4B84E0E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22361E0A">
        <w:tblPrEx>
          <w:tblCellMar>
            <w:top w:w="0" w:type="dxa"/>
            <w:left w:w="0" w:type="dxa"/>
            <w:bottom w:w="0" w:type="dxa"/>
            <w:right w:w="0" w:type="dxa"/>
          </w:tblCellMar>
        </w:tblPrEx>
        <w:trPr>
          <w:trHeight w:val="1566"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7FB10A4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8</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45E51BD7">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法制培训</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0169E84B">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针对采购人执法过程中遇到的常见法律问题及相关领域衍生问题、相关的热点法律问题制定专门的法律培训讲座，包括但不限于行政法（复议、诉讼法）体系有关内容。</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570128E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628B5E2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17A86FAA">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33D090A5">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6349D32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71616080">
        <w:tblPrEx>
          <w:tblCellMar>
            <w:top w:w="0" w:type="dxa"/>
            <w:left w:w="0" w:type="dxa"/>
            <w:bottom w:w="0" w:type="dxa"/>
            <w:right w:w="0" w:type="dxa"/>
          </w:tblCellMar>
        </w:tblPrEx>
        <w:trPr>
          <w:trHeight w:val="975"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112B392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9</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423D617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普法宣传</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47D1F91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协助采购人开展普法宣传，并协助采购人制作相关学习课件，包括但不限于法治理论、部门法体系、个别法专门课件等。</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5D4CAFE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6206247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20B29FE3">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7FAC7E16">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176DFBC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3B2B063F">
        <w:tblPrEx>
          <w:tblCellMar>
            <w:top w:w="0" w:type="dxa"/>
            <w:left w:w="0" w:type="dxa"/>
            <w:bottom w:w="0" w:type="dxa"/>
            <w:right w:w="0" w:type="dxa"/>
          </w:tblCellMar>
        </w:tblPrEx>
        <w:trPr>
          <w:trHeight w:val="975"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3FC012D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469EFA1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驻队服务</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5BED7BE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每月提供1天专业律师（正式执业律师）驻队服务，以采购人分局机关为主；各大队有实际需求时，可至站区大队实际驻点办公。</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40B8340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75B1A15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3A87D03D">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074C8636">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1DC5752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42C0471B">
        <w:tblPrEx>
          <w:tblCellMar>
            <w:top w:w="0" w:type="dxa"/>
            <w:left w:w="0" w:type="dxa"/>
            <w:bottom w:w="0" w:type="dxa"/>
            <w:right w:w="0" w:type="dxa"/>
          </w:tblCellMar>
        </w:tblPrEx>
        <w:trPr>
          <w:trHeight w:val="1215" w:hRule="atLeast"/>
        </w:trPr>
        <w:tc>
          <w:tcPr>
            <w:tcW w:w="480" w:type="dxa"/>
            <w:tcBorders>
              <w:top w:val="nil"/>
              <w:left w:val="single" w:color="000000" w:sz="8" w:space="0"/>
              <w:bottom w:val="single" w:color="000000" w:sz="8" w:space="0"/>
              <w:right w:val="single" w:color="000000" w:sz="8" w:space="0"/>
            </w:tcBorders>
            <w:tcMar>
              <w:top w:w="15" w:type="dxa"/>
              <w:left w:w="15" w:type="dxa"/>
              <w:right w:w="15" w:type="dxa"/>
            </w:tcMar>
            <w:vAlign w:val="center"/>
          </w:tcPr>
          <w:p w14:paraId="7C9B6C8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11</w:t>
            </w:r>
          </w:p>
        </w:tc>
        <w:tc>
          <w:tcPr>
            <w:tcW w:w="485" w:type="dxa"/>
            <w:tcBorders>
              <w:top w:val="nil"/>
              <w:left w:val="nil"/>
              <w:bottom w:val="single" w:color="000000" w:sz="8" w:space="0"/>
              <w:right w:val="single" w:color="000000" w:sz="8" w:space="0"/>
            </w:tcBorders>
            <w:tcMar>
              <w:top w:w="15" w:type="dxa"/>
              <w:left w:w="15" w:type="dxa"/>
              <w:right w:w="15" w:type="dxa"/>
            </w:tcMar>
            <w:vAlign w:val="center"/>
          </w:tcPr>
          <w:p w14:paraId="719EBE5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业务交流</w:t>
            </w:r>
          </w:p>
        </w:tc>
        <w:tc>
          <w:tcPr>
            <w:tcW w:w="3709" w:type="dxa"/>
            <w:tcBorders>
              <w:top w:val="nil"/>
              <w:left w:val="nil"/>
              <w:bottom w:val="single" w:color="000000" w:sz="8" w:space="0"/>
              <w:right w:val="single" w:color="000000" w:sz="8" w:space="0"/>
            </w:tcBorders>
            <w:tcMar>
              <w:top w:w="15" w:type="dxa"/>
              <w:left w:w="15" w:type="dxa"/>
              <w:right w:w="15" w:type="dxa"/>
            </w:tcMar>
            <w:vAlign w:val="center"/>
          </w:tcPr>
          <w:p w14:paraId="71F83CCF">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组织采购人（或兄弟单位）干部前往供应商（或其他律所）、供应商（或其他律所）职工来采购人（或兄弟单位）开展交流座谈，交流行政执法和律师执业心得体会。</w:t>
            </w:r>
          </w:p>
        </w:tc>
        <w:tc>
          <w:tcPr>
            <w:tcW w:w="696" w:type="dxa"/>
            <w:tcBorders>
              <w:top w:val="nil"/>
              <w:left w:val="nil"/>
              <w:bottom w:val="single" w:color="000000" w:sz="8" w:space="0"/>
              <w:right w:val="single" w:color="000000" w:sz="8" w:space="0"/>
            </w:tcBorders>
            <w:tcMar>
              <w:top w:w="15" w:type="dxa"/>
              <w:left w:w="15" w:type="dxa"/>
              <w:right w:w="15" w:type="dxa"/>
            </w:tcMar>
            <w:vAlign w:val="center"/>
          </w:tcPr>
          <w:p w14:paraId="5B41B62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次</w:t>
            </w:r>
          </w:p>
        </w:tc>
        <w:tc>
          <w:tcPr>
            <w:tcW w:w="709" w:type="dxa"/>
            <w:tcBorders>
              <w:top w:val="nil"/>
              <w:left w:val="nil"/>
              <w:bottom w:val="single" w:color="000000" w:sz="8" w:space="0"/>
              <w:right w:val="single" w:color="000000" w:sz="8" w:space="0"/>
            </w:tcBorders>
            <w:tcMar>
              <w:top w:w="15" w:type="dxa"/>
              <w:left w:w="15" w:type="dxa"/>
              <w:right w:w="15" w:type="dxa"/>
            </w:tcMar>
            <w:vAlign w:val="center"/>
          </w:tcPr>
          <w:p w14:paraId="02F4DD3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无限制</w:t>
            </w:r>
          </w:p>
        </w:tc>
        <w:tc>
          <w:tcPr>
            <w:tcW w:w="995" w:type="dxa"/>
            <w:tcBorders>
              <w:top w:val="nil"/>
              <w:left w:val="nil"/>
              <w:bottom w:val="single" w:color="000000" w:sz="8" w:space="0"/>
              <w:right w:val="single" w:color="000000" w:sz="8" w:space="0"/>
            </w:tcBorders>
            <w:tcMar>
              <w:top w:w="15" w:type="dxa"/>
              <w:left w:w="15" w:type="dxa"/>
              <w:right w:w="15" w:type="dxa"/>
            </w:tcMar>
            <w:vAlign w:val="center"/>
          </w:tcPr>
          <w:p w14:paraId="06D8516B">
            <w:pPr>
              <w:widowControl/>
              <w:jc w:val="center"/>
              <w:textAlignment w:val="center"/>
              <w:rPr>
                <w:rFonts w:hint="eastAsia" w:ascii="宋体" w:hAnsi="宋体" w:eastAsia="宋体" w:cs="宋体"/>
                <w:color w:val="000000"/>
                <w:sz w:val="20"/>
                <w:szCs w:val="20"/>
              </w:rPr>
            </w:pPr>
          </w:p>
        </w:tc>
        <w:tc>
          <w:tcPr>
            <w:tcW w:w="1091" w:type="dxa"/>
            <w:tcBorders>
              <w:top w:val="nil"/>
              <w:left w:val="nil"/>
              <w:bottom w:val="single" w:color="000000" w:sz="8" w:space="0"/>
              <w:right w:val="single" w:color="000000" w:sz="8" w:space="0"/>
            </w:tcBorders>
            <w:tcMar>
              <w:top w:w="15" w:type="dxa"/>
              <w:left w:w="15" w:type="dxa"/>
              <w:right w:w="15" w:type="dxa"/>
            </w:tcMar>
            <w:vAlign w:val="center"/>
          </w:tcPr>
          <w:p w14:paraId="33B82AB3">
            <w:pPr>
              <w:widowControl/>
              <w:jc w:val="center"/>
              <w:textAlignment w:val="center"/>
              <w:rPr>
                <w:rFonts w:hint="eastAsia" w:ascii="宋体" w:hAnsi="宋体" w:eastAsia="宋体" w:cs="宋体"/>
                <w:color w:val="000000"/>
                <w:sz w:val="20"/>
                <w:szCs w:val="20"/>
              </w:rPr>
            </w:pPr>
          </w:p>
        </w:tc>
        <w:tc>
          <w:tcPr>
            <w:tcW w:w="668" w:type="dxa"/>
            <w:tcBorders>
              <w:top w:val="nil"/>
              <w:left w:val="nil"/>
              <w:bottom w:val="single" w:color="000000" w:sz="8" w:space="0"/>
              <w:right w:val="single" w:color="000000" w:sz="8" w:space="0"/>
            </w:tcBorders>
            <w:tcMar>
              <w:top w:w="15" w:type="dxa"/>
              <w:left w:w="15" w:type="dxa"/>
              <w:right w:w="15" w:type="dxa"/>
            </w:tcMar>
            <w:vAlign w:val="center"/>
          </w:tcPr>
          <w:p w14:paraId="3B4AE1A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　</w:t>
            </w:r>
          </w:p>
        </w:tc>
      </w:tr>
      <w:tr w14:paraId="648E2D07">
        <w:tblPrEx>
          <w:tblCellMar>
            <w:top w:w="0" w:type="dxa"/>
            <w:left w:w="0" w:type="dxa"/>
            <w:bottom w:w="0" w:type="dxa"/>
            <w:right w:w="0" w:type="dxa"/>
          </w:tblCellMar>
        </w:tblPrEx>
        <w:trPr>
          <w:trHeight w:val="570" w:hRule="atLeast"/>
        </w:trPr>
        <w:tc>
          <w:tcPr>
            <w:tcW w:w="480" w:type="dxa"/>
            <w:tcBorders>
              <w:top w:val="nil"/>
              <w:left w:val="nil"/>
              <w:bottom w:val="nil"/>
              <w:right w:val="nil"/>
            </w:tcBorders>
            <w:noWrap/>
            <w:tcMar>
              <w:top w:w="15" w:type="dxa"/>
              <w:left w:w="15" w:type="dxa"/>
              <w:right w:w="15" w:type="dxa"/>
            </w:tcMar>
            <w:vAlign w:val="center"/>
          </w:tcPr>
          <w:p w14:paraId="6574C134">
            <w:pPr>
              <w:rPr>
                <w:rFonts w:hint="eastAsia" w:ascii="宋体" w:hAnsi="宋体" w:eastAsia="宋体" w:cs="宋体"/>
                <w:sz w:val="22"/>
              </w:rPr>
            </w:pPr>
          </w:p>
        </w:tc>
        <w:tc>
          <w:tcPr>
            <w:tcW w:w="485" w:type="dxa"/>
            <w:tcBorders>
              <w:top w:val="nil"/>
              <w:left w:val="nil"/>
              <w:bottom w:val="nil"/>
              <w:right w:val="nil"/>
            </w:tcBorders>
            <w:noWrap/>
            <w:tcMar>
              <w:top w:w="15" w:type="dxa"/>
              <w:left w:w="15" w:type="dxa"/>
              <w:right w:w="15" w:type="dxa"/>
            </w:tcMar>
            <w:vAlign w:val="bottom"/>
          </w:tcPr>
          <w:p w14:paraId="4B24E565">
            <w:pPr>
              <w:rPr>
                <w:rFonts w:hint="eastAsia" w:ascii="宋体" w:hAnsi="宋体" w:eastAsia="宋体" w:cs="宋体"/>
                <w:sz w:val="24"/>
                <w:szCs w:val="24"/>
              </w:rPr>
            </w:pPr>
          </w:p>
        </w:tc>
        <w:tc>
          <w:tcPr>
            <w:tcW w:w="3709" w:type="dxa"/>
            <w:tcBorders>
              <w:top w:val="nil"/>
              <w:left w:val="nil"/>
              <w:bottom w:val="nil"/>
              <w:right w:val="nil"/>
            </w:tcBorders>
            <w:noWrap/>
            <w:tcMar>
              <w:top w:w="15" w:type="dxa"/>
              <w:left w:w="15" w:type="dxa"/>
              <w:right w:w="15" w:type="dxa"/>
            </w:tcMar>
            <w:vAlign w:val="bottom"/>
          </w:tcPr>
          <w:p w14:paraId="6181370B">
            <w:pPr>
              <w:rPr>
                <w:rFonts w:hint="eastAsia" w:ascii="宋体" w:hAnsi="宋体" w:eastAsia="宋体" w:cs="宋体"/>
                <w:sz w:val="24"/>
                <w:szCs w:val="24"/>
              </w:rPr>
            </w:pPr>
          </w:p>
        </w:tc>
        <w:tc>
          <w:tcPr>
            <w:tcW w:w="696" w:type="dxa"/>
            <w:tcBorders>
              <w:top w:val="nil"/>
              <w:left w:val="nil"/>
              <w:bottom w:val="nil"/>
              <w:right w:val="nil"/>
            </w:tcBorders>
            <w:noWrap/>
            <w:tcMar>
              <w:top w:w="15" w:type="dxa"/>
              <w:left w:w="15" w:type="dxa"/>
              <w:right w:w="15" w:type="dxa"/>
            </w:tcMar>
            <w:vAlign w:val="bottom"/>
          </w:tcPr>
          <w:p w14:paraId="35299BA8">
            <w:pPr>
              <w:rPr>
                <w:rFonts w:hint="eastAsia" w:ascii="宋体" w:hAnsi="宋体" w:eastAsia="宋体" w:cs="宋体"/>
                <w:sz w:val="24"/>
                <w:szCs w:val="24"/>
              </w:rPr>
            </w:pPr>
          </w:p>
        </w:tc>
        <w:tc>
          <w:tcPr>
            <w:tcW w:w="1704" w:type="dxa"/>
            <w:gridSpan w:val="2"/>
            <w:tcBorders>
              <w:top w:val="single" w:color="000000" w:sz="8" w:space="0"/>
              <w:left w:val="nil"/>
              <w:bottom w:val="nil"/>
              <w:right w:val="nil"/>
            </w:tcBorders>
            <w:noWrap/>
            <w:tcMar>
              <w:top w:w="15" w:type="dxa"/>
              <w:left w:w="15" w:type="dxa"/>
              <w:right w:w="15" w:type="dxa"/>
            </w:tcMar>
            <w:vAlign w:val="center"/>
          </w:tcPr>
          <w:p w14:paraId="18453CC6">
            <w:pPr>
              <w:widowControl/>
              <w:jc w:val="center"/>
              <w:textAlignment w:val="center"/>
              <w:rPr>
                <w:rFonts w:hint="eastAsia" w:ascii="宋体" w:hAnsi="宋体" w:eastAsia="宋体" w:cs="宋体"/>
                <w:b/>
                <w:sz w:val="24"/>
                <w:szCs w:val="24"/>
              </w:rPr>
            </w:pPr>
            <w:r>
              <w:rPr>
                <w:rFonts w:hint="eastAsia" w:ascii="宋体" w:hAnsi="宋体" w:eastAsia="宋体" w:cs="宋体"/>
                <w:b/>
                <w:kern w:val="0"/>
                <w:sz w:val="24"/>
                <w:szCs w:val="24"/>
                <w:lang w:bidi="ar"/>
              </w:rPr>
              <w:t>合计：</w:t>
            </w:r>
          </w:p>
        </w:tc>
        <w:tc>
          <w:tcPr>
            <w:tcW w:w="1091" w:type="dxa"/>
            <w:tcBorders>
              <w:top w:val="nil"/>
              <w:left w:val="nil"/>
              <w:bottom w:val="nil"/>
              <w:right w:val="nil"/>
            </w:tcBorders>
            <w:noWrap/>
            <w:tcMar>
              <w:top w:w="15" w:type="dxa"/>
              <w:left w:w="15" w:type="dxa"/>
              <w:right w:w="15" w:type="dxa"/>
            </w:tcMar>
            <w:vAlign w:val="center"/>
          </w:tcPr>
          <w:p w14:paraId="33392902">
            <w:pPr>
              <w:widowControl/>
              <w:jc w:val="right"/>
              <w:textAlignment w:val="center"/>
              <w:rPr>
                <w:rFonts w:hint="eastAsia" w:ascii="宋体" w:hAnsi="宋体" w:eastAsia="宋体" w:cs="宋体"/>
                <w:b/>
                <w:sz w:val="24"/>
                <w:szCs w:val="24"/>
              </w:rPr>
            </w:pPr>
          </w:p>
        </w:tc>
        <w:tc>
          <w:tcPr>
            <w:tcW w:w="668" w:type="dxa"/>
            <w:tcBorders>
              <w:top w:val="nil"/>
              <w:left w:val="nil"/>
              <w:bottom w:val="nil"/>
              <w:right w:val="nil"/>
            </w:tcBorders>
            <w:noWrap/>
            <w:tcMar>
              <w:top w:w="15" w:type="dxa"/>
              <w:left w:w="15" w:type="dxa"/>
              <w:right w:w="15" w:type="dxa"/>
            </w:tcMar>
            <w:vAlign w:val="bottom"/>
          </w:tcPr>
          <w:p w14:paraId="32E70A98">
            <w:pPr>
              <w:rPr>
                <w:rFonts w:hint="eastAsia" w:ascii="宋体" w:hAnsi="宋体" w:eastAsia="宋体" w:cs="宋体"/>
                <w:sz w:val="24"/>
                <w:szCs w:val="24"/>
              </w:rPr>
            </w:pPr>
          </w:p>
        </w:tc>
      </w:tr>
    </w:tbl>
    <w:p w14:paraId="3D624E25">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受聘律所应当根据上述服务项目及需求列表逐项报价并汇总总价，总价应当在当年预算批复金额范围内。</w:t>
      </w:r>
    </w:p>
    <w:p w14:paraId="7F5CAACB">
      <w:pPr>
        <w:spacing w:line="360" w:lineRule="auto"/>
        <w:ind w:firstLine="482" w:firstLineChars="200"/>
        <w:rPr>
          <w:rFonts w:ascii="Times New Roman" w:hAnsi="Times New Roman" w:eastAsia="宋体" w:cs="Times New Roman"/>
          <w:b/>
          <w:bCs/>
          <w:sz w:val="24"/>
          <w:szCs w:val="24"/>
        </w:rPr>
      </w:pPr>
      <w:r>
        <w:rPr>
          <w:rFonts w:ascii="Times New Roman" w:hAnsi="Times New Roman" w:eastAsia="宋体" w:cs="Times New Roman"/>
          <w:b/>
          <w:bCs/>
          <w:sz w:val="24"/>
          <w:szCs w:val="24"/>
        </w:rPr>
        <w:t>五、成果</w:t>
      </w:r>
      <w:r>
        <w:rPr>
          <w:rFonts w:hint="eastAsia" w:ascii="Times New Roman" w:hAnsi="Times New Roman" w:eastAsia="宋体" w:cs="Times New Roman"/>
          <w:b/>
          <w:bCs/>
          <w:sz w:val="24"/>
          <w:szCs w:val="24"/>
        </w:rPr>
        <w:t>要求</w:t>
      </w:r>
    </w:p>
    <w:p w14:paraId="21112748">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通过与受聘律所深度合作，听取其专业法律建议，接受法治培训，预计城管分局必将构建一支更加专业化的执法队伍，执法活动更加严格规范公正文明，执法绩效不断拓展广度和深度。既定目标包含以下几点：</w:t>
      </w:r>
    </w:p>
    <w:p w14:paraId="2A1CC09C">
      <w:pPr>
        <w:spacing w:line="360" w:lineRule="auto"/>
        <w:ind w:left="426"/>
        <w:rPr>
          <w:rFonts w:ascii="Times New Roman" w:hAnsi="Times New Roman" w:eastAsia="宋体" w:cs="Times New Roman"/>
          <w:sz w:val="24"/>
          <w:szCs w:val="24"/>
        </w:rPr>
      </w:pPr>
      <w:r>
        <w:rPr>
          <w:rFonts w:hint="eastAsia" w:ascii="Times New Roman" w:hAnsi="Times New Roman" w:eastAsia="宋体" w:cs="Times New Roman"/>
          <w:sz w:val="24"/>
          <w:szCs w:val="24"/>
        </w:rPr>
        <w:t>（一）</w:t>
      </w:r>
      <w:r>
        <w:rPr>
          <w:rFonts w:ascii="Times New Roman" w:hAnsi="Times New Roman" w:eastAsia="宋体" w:cs="Times New Roman"/>
          <w:sz w:val="24"/>
          <w:szCs w:val="24"/>
        </w:rPr>
        <w:t>无被驳回或者被纠错案件；</w:t>
      </w:r>
    </w:p>
    <w:p w14:paraId="2C15F724">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 xml:space="preserve">    （二）听证、信访等矛盾纠纷案件得到实质性化解；</w:t>
      </w:r>
    </w:p>
    <w:p w14:paraId="61B6EB14">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（三）无重大合同纠纷；</w:t>
      </w:r>
    </w:p>
    <w:p w14:paraId="416557A6">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（四）圆满完成法治培训、普法宣传等系列任务；</w:t>
      </w:r>
    </w:p>
    <w:p w14:paraId="67E05F08">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 xml:space="preserve">    （五）执法人员的法治素养执法水平显著提升。</w:t>
      </w:r>
    </w:p>
    <w:p w14:paraId="1FBD517F">
      <w:pPr>
        <w:spacing w:line="360" w:lineRule="auto"/>
        <w:ind w:firstLine="482" w:firstLineChars="200"/>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六</w:t>
      </w:r>
      <w:r>
        <w:rPr>
          <w:rFonts w:ascii="Times New Roman" w:hAnsi="Times New Roman" w:eastAsia="宋体" w:cs="Times New Roman"/>
          <w:b/>
          <w:bCs/>
          <w:sz w:val="24"/>
          <w:szCs w:val="24"/>
        </w:rPr>
        <w:t>、</w:t>
      </w:r>
      <w:r>
        <w:rPr>
          <w:rFonts w:hint="eastAsia" w:ascii="Times New Roman" w:hAnsi="Times New Roman" w:eastAsia="宋体" w:cs="Times New Roman"/>
          <w:b/>
          <w:bCs/>
          <w:sz w:val="24"/>
          <w:szCs w:val="24"/>
        </w:rPr>
        <w:t>服务周期</w:t>
      </w:r>
    </w:p>
    <w:p w14:paraId="4ACAC19D">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服务周期为【壹】年，从</w:t>
      </w:r>
      <w:r>
        <w:rPr>
          <w:rFonts w:hint="eastAsia" w:ascii="Times New Roman" w:hAnsi="Times New Roman" w:eastAsia="宋体" w:cs="Times New Roman"/>
          <w:sz w:val="24"/>
          <w:szCs w:val="24"/>
          <w:highlight w:val="none"/>
        </w:rPr>
        <w:t>【202</w:t>
      </w:r>
      <w:r>
        <w:rPr>
          <w:rFonts w:hint="eastAsia" w:ascii="Times New Roman" w:hAnsi="Times New Roman" w:eastAsia="宋体" w:cs="Times New Roman"/>
          <w:sz w:val="24"/>
          <w:szCs w:val="24"/>
          <w:highlight w:val="none"/>
          <w:lang w:val="en-US" w:eastAsia="zh-CN"/>
        </w:rPr>
        <w:t>6</w:t>
      </w:r>
      <w:r>
        <w:rPr>
          <w:rFonts w:hint="eastAsia" w:ascii="Times New Roman" w:hAnsi="Times New Roman" w:eastAsia="宋体" w:cs="Times New Roman"/>
          <w:sz w:val="24"/>
          <w:szCs w:val="24"/>
          <w:highlight w:val="none"/>
        </w:rPr>
        <w:t>】年【9】月【  】日至【202</w:t>
      </w:r>
      <w:r>
        <w:rPr>
          <w:rFonts w:hint="eastAsia" w:ascii="Times New Roman" w:hAnsi="Times New Roman" w:eastAsia="宋体" w:cs="Times New Roman"/>
          <w:sz w:val="24"/>
          <w:szCs w:val="24"/>
          <w:highlight w:val="none"/>
          <w:lang w:val="en-US" w:eastAsia="zh-CN"/>
        </w:rPr>
        <w:t>7</w:t>
      </w:r>
      <w:r>
        <w:rPr>
          <w:rFonts w:hint="eastAsia" w:ascii="Times New Roman" w:hAnsi="Times New Roman" w:eastAsia="宋体" w:cs="Times New Roman"/>
          <w:sz w:val="24"/>
          <w:szCs w:val="24"/>
          <w:highlight w:val="none"/>
        </w:rPr>
        <w:t>】年【9】月</w:t>
      </w:r>
      <w:r>
        <w:rPr>
          <w:rFonts w:hint="eastAsia" w:ascii="Times New Roman" w:hAnsi="Times New Roman" w:eastAsia="宋体" w:cs="Times New Roman"/>
          <w:sz w:val="24"/>
          <w:szCs w:val="24"/>
        </w:rPr>
        <w:t>【  】日。（以实际签约时间为准）</w:t>
      </w:r>
    </w:p>
    <w:p w14:paraId="5F7273E8">
      <w:pPr>
        <w:spacing w:line="360" w:lineRule="auto"/>
        <w:ind w:firstLine="482" w:firstLineChars="200"/>
        <w:rPr>
          <w:rFonts w:hint="eastAsia"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rPr>
        <w:t>七</w:t>
      </w:r>
      <w:r>
        <w:rPr>
          <w:rFonts w:ascii="Times New Roman" w:hAnsi="Times New Roman" w:eastAsia="宋体" w:cs="Times New Roman"/>
          <w:b/>
          <w:bCs/>
          <w:sz w:val="24"/>
          <w:szCs w:val="24"/>
        </w:rPr>
        <w:t>、资格</w:t>
      </w:r>
      <w:r>
        <w:rPr>
          <w:rFonts w:hint="eastAsia" w:ascii="Times New Roman" w:hAnsi="Times New Roman" w:eastAsia="宋体" w:cs="Times New Roman"/>
          <w:b/>
          <w:bCs/>
          <w:sz w:val="24"/>
          <w:szCs w:val="24"/>
          <w:lang w:val="en-US" w:eastAsia="zh-CN"/>
        </w:rPr>
        <w:t>要求</w:t>
      </w:r>
    </w:p>
    <w:p w14:paraId="44D57D3F">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1.满足《中华人民共和国政府采购法》第二十二条规定；</w:t>
      </w:r>
    </w:p>
    <w:p w14:paraId="4D32BE4A">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2.落实政府采购政策需满足的资格要求：</w:t>
      </w:r>
      <w:bookmarkStart w:id="14" w:name="_GoBack"/>
      <w:bookmarkEnd w:id="14"/>
    </w:p>
    <w:p w14:paraId="2EBB0602">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2.1中小企业政策</w:t>
      </w:r>
    </w:p>
    <w:p w14:paraId="57E24E7F">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本项目不专门面向中小企业预留采购份额。</w:t>
      </w:r>
    </w:p>
    <w:p w14:paraId="1FEA3AD3">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2.</w:t>
      </w:r>
      <w:r>
        <w:rPr>
          <w:rFonts w:hint="eastAsia" w:ascii="Times New Roman" w:hAnsi="Times New Roman" w:eastAsia="宋体" w:cs="Times New Roman"/>
          <w:sz w:val="24"/>
          <w:szCs w:val="24"/>
        </w:rPr>
        <w:t>2</w:t>
      </w:r>
      <w:r>
        <w:rPr>
          <w:rFonts w:ascii="Times New Roman" w:hAnsi="Times New Roman" w:eastAsia="宋体" w:cs="Times New Roman"/>
          <w:sz w:val="24"/>
          <w:szCs w:val="24"/>
        </w:rPr>
        <w:t>供应商不得被列入失信被执行人、重大税收违法案件当事人名单、政府采购严重违法失信行为记录名单。</w:t>
      </w:r>
    </w:p>
    <w:p w14:paraId="05523B22">
      <w:pPr>
        <w:numPr>
          <w:ilvl w:val="0"/>
          <w:numId w:val="0"/>
        </w:num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3.本项目的特定资格要求：</w:t>
      </w:r>
    </w:p>
    <w:p w14:paraId="03D92098">
      <w:pPr>
        <w:numPr>
          <w:ilvl w:val="0"/>
          <w:numId w:val="0"/>
        </w:numPr>
        <w:spacing w:line="360" w:lineRule="auto"/>
        <w:ind w:firstLine="480" w:firstLineChars="200"/>
        <w:rPr>
          <w:rFonts w:hint="eastAsia" w:ascii="Times New Roman" w:hAnsi="Times New Roman" w:eastAsia="宋体" w:cs="Times New Roman"/>
          <w:color w:val="auto"/>
          <w:sz w:val="24"/>
          <w:szCs w:val="24"/>
          <w:u w:val="single"/>
          <w:lang w:eastAsia="zh-CN"/>
        </w:rPr>
      </w:pPr>
      <w:r>
        <w:rPr>
          <w:rFonts w:hint="eastAsia" w:ascii="Times New Roman" w:hAnsi="Times New Roman" w:eastAsia="宋体" w:cs="Times New Roman"/>
          <w:color w:val="auto"/>
          <w:sz w:val="24"/>
          <w:szCs w:val="24"/>
          <w:u w:val="single"/>
          <w:lang w:val="en-US" w:eastAsia="zh-CN"/>
        </w:rPr>
        <w:t>3</w:t>
      </w:r>
      <w:r>
        <w:rPr>
          <w:rFonts w:ascii="Times New Roman" w:hAnsi="Times New Roman" w:eastAsia="宋体" w:cs="Times New Roman"/>
          <w:color w:val="auto"/>
          <w:sz w:val="24"/>
          <w:szCs w:val="24"/>
          <w:u w:val="single"/>
        </w:rPr>
        <w:t>.1</w:t>
      </w:r>
      <w:r>
        <w:rPr>
          <w:rFonts w:hint="eastAsia" w:ascii="Times New Roman" w:hAnsi="Times New Roman" w:eastAsia="宋体" w:cs="Times New Roman"/>
          <w:color w:val="auto"/>
          <w:sz w:val="24"/>
          <w:szCs w:val="24"/>
          <w:u w:val="single"/>
          <w:lang w:val="en-US" w:eastAsia="zh-CN"/>
        </w:rPr>
        <w:t>)具有司法行政机关颁发的有效的《律师事务所执业许可证》或《律师事务所分所执业许可证》。</w:t>
      </w:r>
    </w:p>
    <w:p w14:paraId="53346FB1">
      <w:pPr>
        <w:spacing w:line="360" w:lineRule="auto"/>
        <w:ind w:firstLine="480" w:firstLineChars="200"/>
        <w:rPr>
          <w:rFonts w:hint="eastAsia"/>
          <w:color w:val="auto"/>
        </w:rPr>
      </w:pPr>
      <w:r>
        <w:rPr>
          <w:rFonts w:hint="eastAsia" w:ascii="Times New Roman" w:hAnsi="Times New Roman" w:eastAsia="宋体" w:cs="Times New Roman"/>
          <w:color w:val="auto"/>
          <w:sz w:val="24"/>
          <w:szCs w:val="24"/>
          <w:u w:val="single"/>
          <w:lang w:val="en-US" w:eastAsia="zh-CN"/>
        </w:rPr>
        <w:t>3</w:t>
      </w:r>
      <w:r>
        <w:rPr>
          <w:rFonts w:ascii="Times New Roman" w:hAnsi="Times New Roman" w:eastAsia="宋体" w:cs="Times New Roman"/>
          <w:color w:val="auto"/>
          <w:sz w:val="24"/>
          <w:szCs w:val="24"/>
          <w:u w:val="single"/>
        </w:rPr>
        <w:t>.</w:t>
      </w:r>
      <w:r>
        <w:rPr>
          <w:rFonts w:hint="eastAsia" w:ascii="Times New Roman" w:hAnsi="Times New Roman" w:eastAsia="宋体" w:cs="Times New Roman"/>
          <w:color w:val="auto"/>
          <w:sz w:val="24"/>
          <w:szCs w:val="24"/>
          <w:u w:val="single"/>
          <w:lang w:val="en-US" w:eastAsia="zh-CN"/>
        </w:rPr>
        <w:t>2)在全国律师执业诚信信息公示平台（网址：https://credit.acla.org.cn/）未出现“行政处罚、行业处分、失信惩戒、停业整顿”执业失信记录。</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4555046"/>
    </w:sdtPr>
    <w:sdtContent>
      <w:p w14:paraId="47934547">
        <w:pPr>
          <w:pStyle w:val="13"/>
          <w:jc w:val="center"/>
          <w:rPr>
            <w:rFonts w:hint="eastAsia"/>
          </w:rPr>
        </w:pPr>
        <w:r>
          <w:fldChar w:fldCharType="begin"/>
        </w:r>
        <w:r>
          <w:instrText xml:space="preserve">PAGE   \* MERGEFORMAT</w:instrText>
        </w:r>
        <w:r>
          <w:fldChar w:fldCharType="separate"/>
        </w:r>
        <w:r>
          <w:rPr>
            <w:lang w:val="zh-CN"/>
          </w:rPr>
          <w:t>5</w:t>
        </w:r>
        <w:r>
          <w:fldChar w:fldCharType="end"/>
        </w:r>
      </w:p>
    </w:sdtContent>
  </w:sdt>
  <w:p w14:paraId="77D5918D">
    <w:pPr>
      <w:pStyle w:val="13"/>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B5048">
    <w:pPr>
      <w:pStyle w:val="14"/>
      <w:pBdr>
        <w:bottom w:val="none" w:color="auto" w:sz="0" w:space="0"/>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2E505F"/>
    <w:multiLevelType w:val="multilevel"/>
    <w:tmpl w:val="442E505F"/>
    <w:lvl w:ilvl="0" w:tentative="0">
      <w:start w:val="1"/>
      <w:numFmt w:val="chineseCountingThousand"/>
      <w:pStyle w:val="4"/>
      <w:lvlText w:val="第%1章"/>
      <w:lvlJc w:val="left"/>
      <w:pPr>
        <w:tabs>
          <w:tab w:val="left" w:pos="425"/>
        </w:tabs>
        <w:ind w:left="425" w:hanging="425"/>
      </w:pPr>
      <w:rPr>
        <w:rFonts w:hint="eastAsia" w:ascii="仿宋_GB2312" w:hAnsi="Arial" w:eastAsia="仿宋_GB2312"/>
        <w:b/>
        <w:i w:val="0"/>
        <w:sz w:val="28"/>
        <w:szCs w:val="28"/>
      </w:rPr>
    </w:lvl>
    <w:lvl w:ilvl="1" w:tentative="0">
      <w:start w:val="1"/>
      <w:numFmt w:val="decimal"/>
      <w:isLgl/>
      <w:lvlText w:val="%1.%2."/>
      <w:lvlJc w:val="left"/>
      <w:pPr>
        <w:tabs>
          <w:tab w:val="left" w:pos="567"/>
        </w:tabs>
        <w:ind w:left="567" w:hanging="567"/>
      </w:pPr>
      <w:rPr>
        <w:rFonts w:hint="default" w:ascii="Arial" w:hAnsi="Arial" w:eastAsia="黑体"/>
        <w:b/>
        <w:i w:val="0"/>
        <w:sz w:val="24"/>
        <w:szCs w:val="24"/>
      </w:rPr>
    </w:lvl>
    <w:lvl w:ilvl="2" w:tentative="0">
      <w:start w:val="1"/>
      <w:numFmt w:val="decimal"/>
      <w:pStyle w:val="6"/>
      <w:isLgl/>
      <w:lvlText w:val="%1.%2.%3."/>
      <w:lvlJc w:val="left"/>
      <w:pPr>
        <w:tabs>
          <w:tab w:val="left" w:pos="1429"/>
        </w:tabs>
        <w:ind w:left="1429" w:hanging="709"/>
      </w:pPr>
      <w:rPr>
        <w:rFonts w:hint="default" w:ascii="Times New Roman" w:hAnsi="Times New Roman" w:eastAsia="黑体" w:cs="Times New Roman"/>
        <w:b/>
        <w:i w:val="0"/>
        <w:sz w:val="30"/>
      </w:rPr>
    </w:lvl>
    <w:lvl w:ilvl="3" w:tentative="0">
      <w:start w:val="1"/>
      <w:numFmt w:val="decimal"/>
      <w:isLgl/>
      <w:lvlText w:val="%1.%2.%3.%4."/>
      <w:lvlJc w:val="left"/>
      <w:pPr>
        <w:tabs>
          <w:tab w:val="left" w:pos="851"/>
        </w:tabs>
        <w:ind w:left="851" w:hanging="851"/>
      </w:pPr>
      <w:rPr>
        <w:rFonts w:hint="default" w:ascii="Arial" w:hAnsi="Arial" w:eastAsia="黑体"/>
        <w:b/>
        <w:i w:val="0"/>
        <w:sz w:val="28"/>
      </w:rPr>
    </w:lvl>
    <w:lvl w:ilvl="4" w:tentative="0">
      <w:start w:val="1"/>
      <w:numFmt w:val="decimal"/>
      <w:isLgl/>
      <w:lvlText w:val="%1.%2.%3.%4.%5."/>
      <w:lvlJc w:val="left"/>
      <w:pPr>
        <w:tabs>
          <w:tab w:val="left" w:pos="992"/>
        </w:tabs>
        <w:ind w:left="992" w:hanging="992"/>
      </w:pPr>
      <w:rPr>
        <w:rFonts w:hint="default" w:ascii="Arial" w:hAnsi="Arial" w:eastAsia="黑体"/>
        <w:b/>
        <w:i w:val="0"/>
        <w:sz w:val="24"/>
      </w:rPr>
    </w:lvl>
    <w:lvl w:ilvl="5" w:tentative="0">
      <w:start w:val="1"/>
      <w:numFmt w:val="decimal"/>
      <w:isLgl/>
      <w:lvlText w:val="%1.%2.%3.%4.%5.%6."/>
      <w:lvlJc w:val="left"/>
      <w:pPr>
        <w:tabs>
          <w:tab w:val="left" w:pos="1134"/>
        </w:tabs>
        <w:ind w:left="1134" w:hanging="1134"/>
      </w:pPr>
      <w:rPr>
        <w:rFonts w:hint="default" w:ascii="Arial" w:hAnsi="Arial" w:eastAsia="黑体"/>
        <w:b/>
        <w:i w:val="0"/>
        <w:sz w:val="24"/>
      </w:rPr>
    </w:lvl>
    <w:lvl w:ilvl="6" w:tentative="0">
      <w:start w:val="1"/>
      <w:numFmt w:val="decimal"/>
      <w:isLgl/>
      <w:lvlText w:val="%1.%2.%3.%4.%5.%6.%7."/>
      <w:lvlJc w:val="left"/>
      <w:pPr>
        <w:tabs>
          <w:tab w:val="left" w:pos="1276"/>
        </w:tabs>
        <w:ind w:left="1276" w:hanging="1276"/>
      </w:pPr>
      <w:rPr>
        <w:rFonts w:hint="default" w:ascii="Arial" w:hAnsi="Arial" w:eastAsia="黑体"/>
        <w:b/>
        <w:i w:val="0"/>
        <w:sz w:val="24"/>
      </w:rPr>
    </w:lvl>
    <w:lvl w:ilvl="7" w:tentative="0">
      <w:start w:val="1"/>
      <w:numFmt w:val="decimal"/>
      <w:isLgl/>
      <w:lvlText w:val="%1.%2.%3.%4.%5.%6.%7.%8."/>
      <w:lvlJc w:val="left"/>
      <w:pPr>
        <w:tabs>
          <w:tab w:val="left" w:pos="1418"/>
        </w:tabs>
        <w:ind w:left="1418" w:hanging="1418"/>
      </w:pPr>
      <w:rPr>
        <w:rFonts w:hint="default" w:ascii="Arial" w:hAnsi="Arial" w:eastAsia="黑体"/>
        <w:b/>
        <w:i w:val="0"/>
        <w:sz w:val="24"/>
      </w:rPr>
    </w:lvl>
    <w:lvl w:ilvl="8" w:tentative="0">
      <w:start w:val="1"/>
      <w:numFmt w:val="decimal"/>
      <w:isLgl/>
      <w:lvlText w:val="%1.%2.%3.%4.%5.%6.%7.%8.%9."/>
      <w:lvlJc w:val="left"/>
      <w:pPr>
        <w:tabs>
          <w:tab w:val="left" w:pos="1559"/>
        </w:tabs>
        <w:ind w:left="1559" w:hanging="1559"/>
      </w:pPr>
      <w:rPr>
        <w:rFonts w:hint="default" w:ascii="Arial" w:hAnsi="Arial" w:eastAsia="黑体"/>
        <w:b/>
        <w:i w:val="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2OGE2NWQ3MDkzZDQyYzQwZjU3NTMyY2U5MmE5NzcifQ=="/>
  </w:docVars>
  <w:rsids>
    <w:rsidRoot w:val="00520E97"/>
    <w:rsid w:val="000037D3"/>
    <w:rsid w:val="00014344"/>
    <w:rsid w:val="00021A79"/>
    <w:rsid w:val="00094863"/>
    <w:rsid w:val="000A6B93"/>
    <w:rsid w:val="000E0381"/>
    <w:rsid w:val="000E05FB"/>
    <w:rsid w:val="0011683F"/>
    <w:rsid w:val="00147E89"/>
    <w:rsid w:val="0015496D"/>
    <w:rsid w:val="00190FB8"/>
    <w:rsid w:val="001B10D6"/>
    <w:rsid w:val="001D5A01"/>
    <w:rsid w:val="00211A42"/>
    <w:rsid w:val="00242283"/>
    <w:rsid w:val="00245A0F"/>
    <w:rsid w:val="00246452"/>
    <w:rsid w:val="00286DDD"/>
    <w:rsid w:val="002A0924"/>
    <w:rsid w:val="002B303F"/>
    <w:rsid w:val="002B394E"/>
    <w:rsid w:val="002D57FA"/>
    <w:rsid w:val="002E681E"/>
    <w:rsid w:val="003261C0"/>
    <w:rsid w:val="00331AD6"/>
    <w:rsid w:val="0033418F"/>
    <w:rsid w:val="003764BA"/>
    <w:rsid w:val="00386B7C"/>
    <w:rsid w:val="003A6E74"/>
    <w:rsid w:val="003C76C2"/>
    <w:rsid w:val="003D507A"/>
    <w:rsid w:val="003F6334"/>
    <w:rsid w:val="00412195"/>
    <w:rsid w:val="00417550"/>
    <w:rsid w:val="00422521"/>
    <w:rsid w:val="0042613F"/>
    <w:rsid w:val="00431364"/>
    <w:rsid w:val="0046057B"/>
    <w:rsid w:val="004817F5"/>
    <w:rsid w:val="00484454"/>
    <w:rsid w:val="004A46FA"/>
    <w:rsid w:val="004C7AF9"/>
    <w:rsid w:val="004E42E7"/>
    <w:rsid w:val="004E5883"/>
    <w:rsid w:val="004F0279"/>
    <w:rsid w:val="004F0315"/>
    <w:rsid w:val="004F10E8"/>
    <w:rsid w:val="00520E97"/>
    <w:rsid w:val="00541236"/>
    <w:rsid w:val="005435FB"/>
    <w:rsid w:val="00552E5E"/>
    <w:rsid w:val="00573663"/>
    <w:rsid w:val="00595A43"/>
    <w:rsid w:val="005B5ABA"/>
    <w:rsid w:val="005D029C"/>
    <w:rsid w:val="005D4865"/>
    <w:rsid w:val="005F0D6F"/>
    <w:rsid w:val="005F51FD"/>
    <w:rsid w:val="0063480F"/>
    <w:rsid w:val="00635AA7"/>
    <w:rsid w:val="00654513"/>
    <w:rsid w:val="00681001"/>
    <w:rsid w:val="00695B94"/>
    <w:rsid w:val="006B55AA"/>
    <w:rsid w:val="006C353D"/>
    <w:rsid w:val="006C43C6"/>
    <w:rsid w:val="006F2C16"/>
    <w:rsid w:val="00701AE1"/>
    <w:rsid w:val="007053B6"/>
    <w:rsid w:val="00791CD7"/>
    <w:rsid w:val="00795FAF"/>
    <w:rsid w:val="007A0942"/>
    <w:rsid w:val="007C6F95"/>
    <w:rsid w:val="007C7F88"/>
    <w:rsid w:val="00804E34"/>
    <w:rsid w:val="0080584D"/>
    <w:rsid w:val="0081212E"/>
    <w:rsid w:val="008428A9"/>
    <w:rsid w:val="00846892"/>
    <w:rsid w:val="00883708"/>
    <w:rsid w:val="008914ED"/>
    <w:rsid w:val="008914F3"/>
    <w:rsid w:val="0090278A"/>
    <w:rsid w:val="00904E8B"/>
    <w:rsid w:val="00907167"/>
    <w:rsid w:val="00925CFB"/>
    <w:rsid w:val="009312AA"/>
    <w:rsid w:val="00942D2E"/>
    <w:rsid w:val="00975149"/>
    <w:rsid w:val="00976736"/>
    <w:rsid w:val="009A4BF0"/>
    <w:rsid w:val="009A6941"/>
    <w:rsid w:val="009C0007"/>
    <w:rsid w:val="00A21292"/>
    <w:rsid w:val="00A36940"/>
    <w:rsid w:val="00A376F4"/>
    <w:rsid w:val="00A44802"/>
    <w:rsid w:val="00A73D7B"/>
    <w:rsid w:val="00A748B8"/>
    <w:rsid w:val="00A80C31"/>
    <w:rsid w:val="00B66B3D"/>
    <w:rsid w:val="00BA50C8"/>
    <w:rsid w:val="00BB1F96"/>
    <w:rsid w:val="00BD0256"/>
    <w:rsid w:val="00BF4C2C"/>
    <w:rsid w:val="00BF6803"/>
    <w:rsid w:val="00C22D9E"/>
    <w:rsid w:val="00C2385F"/>
    <w:rsid w:val="00C547F8"/>
    <w:rsid w:val="00C97203"/>
    <w:rsid w:val="00CA2B96"/>
    <w:rsid w:val="00CC3AC2"/>
    <w:rsid w:val="00CC55CF"/>
    <w:rsid w:val="00D32460"/>
    <w:rsid w:val="00D455AA"/>
    <w:rsid w:val="00D61FF2"/>
    <w:rsid w:val="00D920AE"/>
    <w:rsid w:val="00D923D5"/>
    <w:rsid w:val="00D93348"/>
    <w:rsid w:val="00DB3EC1"/>
    <w:rsid w:val="00DD318F"/>
    <w:rsid w:val="00E22D3F"/>
    <w:rsid w:val="00E51731"/>
    <w:rsid w:val="00E71536"/>
    <w:rsid w:val="00E76362"/>
    <w:rsid w:val="00E95D9C"/>
    <w:rsid w:val="00EA5DF2"/>
    <w:rsid w:val="00EC163F"/>
    <w:rsid w:val="00EF5B38"/>
    <w:rsid w:val="00F103D6"/>
    <w:rsid w:val="00F2017D"/>
    <w:rsid w:val="00F4165B"/>
    <w:rsid w:val="00F50038"/>
    <w:rsid w:val="00F6103C"/>
    <w:rsid w:val="00FC36DF"/>
    <w:rsid w:val="00FC6773"/>
    <w:rsid w:val="00FE0E8A"/>
    <w:rsid w:val="00FF13E2"/>
    <w:rsid w:val="00FF6F46"/>
    <w:rsid w:val="02297BE6"/>
    <w:rsid w:val="03832336"/>
    <w:rsid w:val="042E69E2"/>
    <w:rsid w:val="0490190F"/>
    <w:rsid w:val="067E0614"/>
    <w:rsid w:val="068949AF"/>
    <w:rsid w:val="06AE1106"/>
    <w:rsid w:val="073E0D83"/>
    <w:rsid w:val="0B13539B"/>
    <w:rsid w:val="0B24315C"/>
    <w:rsid w:val="0B7456A4"/>
    <w:rsid w:val="0BCA64E2"/>
    <w:rsid w:val="0BD15271"/>
    <w:rsid w:val="0C5745FC"/>
    <w:rsid w:val="0D4C4B4D"/>
    <w:rsid w:val="0E1C10D1"/>
    <w:rsid w:val="0E6A782F"/>
    <w:rsid w:val="0F8A24E8"/>
    <w:rsid w:val="11A55826"/>
    <w:rsid w:val="12DE7825"/>
    <w:rsid w:val="13B741FE"/>
    <w:rsid w:val="152B6F63"/>
    <w:rsid w:val="15AB0ABB"/>
    <w:rsid w:val="15C0655C"/>
    <w:rsid w:val="1678078D"/>
    <w:rsid w:val="169E2C1C"/>
    <w:rsid w:val="171A2470"/>
    <w:rsid w:val="194D1CB8"/>
    <w:rsid w:val="1A3D3E6B"/>
    <w:rsid w:val="1C0D66DB"/>
    <w:rsid w:val="1C2B0F99"/>
    <w:rsid w:val="1DE62D5A"/>
    <w:rsid w:val="1F4B76D7"/>
    <w:rsid w:val="1FFF600B"/>
    <w:rsid w:val="200849D1"/>
    <w:rsid w:val="203527EC"/>
    <w:rsid w:val="21A70497"/>
    <w:rsid w:val="23287787"/>
    <w:rsid w:val="24DD6DCC"/>
    <w:rsid w:val="255045B2"/>
    <w:rsid w:val="26583F28"/>
    <w:rsid w:val="26D52E62"/>
    <w:rsid w:val="26E33204"/>
    <w:rsid w:val="2A5E1D27"/>
    <w:rsid w:val="2A8A2314"/>
    <w:rsid w:val="2AEE5863"/>
    <w:rsid w:val="2BB00137"/>
    <w:rsid w:val="2C68119F"/>
    <w:rsid w:val="2D7C3526"/>
    <w:rsid w:val="33353A31"/>
    <w:rsid w:val="344B1BCD"/>
    <w:rsid w:val="34DE5E29"/>
    <w:rsid w:val="355359F9"/>
    <w:rsid w:val="36EB75BC"/>
    <w:rsid w:val="37106F10"/>
    <w:rsid w:val="37DB3C9B"/>
    <w:rsid w:val="384A5821"/>
    <w:rsid w:val="396F1C0A"/>
    <w:rsid w:val="3ADA6C48"/>
    <w:rsid w:val="3D4C01F7"/>
    <w:rsid w:val="3DB85A64"/>
    <w:rsid w:val="3DC37382"/>
    <w:rsid w:val="3E5F40AD"/>
    <w:rsid w:val="40755777"/>
    <w:rsid w:val="410D2F57"/>
    <w:rsid w:val="41731A1B"/>
    <w:rsid w:val="41D25C46"/>
    <w:rsid w:val="42212242"/>
    <w:rsid w:val="426018CC"/>
    <w:rsid w:val="42DD4DF7"/>
    <w:rsid w:val="436D5DF7"/>
    <w:rsid w:val="43781E3C"/>
    <w:rsid w:val="44326014"/>
    <w:rsid w:val="44485A93"/>
    <w:rsid w:val="44692510"/>
    <w:rsid w:val="446C2633"/>
    <w:rsid w:val="45A92F06"/>
    <w:rsid w:val="45EC115A"/>
    <w:rsid w:val="46064D3E"/>
    <w:rsid w:val="46C07277"/>
    <w:rsid w:val="46EA5025"/>
    <w:rsid w:val="47D31139"/>
    <w:rsid w:val="48122DB9"/>
    <w:rsid w:val="48E63159"/>
    <w:rsid w:val="498D2D3D"/>
    <w:rsid w:val="49AA2A6A"/>
    <w:rsid w:val="49FD6207"/>
    <w:rsid w:val="4B364E98"/>
    <w:rsid w:val="4D747BBB"/>
    <w:rsid w:val="4DFD20AB"/>
    <w:rsid w:val="4E035902"/>
    <w:rsid w:val="4F3560FA"/>
    <w:rsid w:val="51B47B3D"/>
    <w:rsid w:val="530A70BE"/>
    <w:rsid w:val="540D44AF"/>
    <w:rsid w:val="551F5EFC"/>
    <w:rsid w:val="554020D6"/>
    <w:rsid w:val="5590755D"/>
    <w:rsid w:val="56B153BE"/>
    <w:rsid w:val="571D62CD"/>
    <w:rsid w:val="57697C23"/>
    <w:rsid w:val="59154166"/>
    <w:rsid w:val="595C703F"/>
    <w:rsid w:val="5B1433B1"/>
    <w:rsid w:val="5BD237B0"/>
    <w:rsid w:val="5CF714FC"/>
    <w:rsid w:val="5D437F7D"/>
    <w:rsid w:val="5E152203"/>
    <w:rsid w:val="5EEA72F8"/>
    <w:rsid w:val="5F805584"/>
    <w:rsid w:val="62800817"/>
    <w:rsid w:val="63443BFB"/>
    <w:rsid w:val="68E20CFD"/>
    <w:rsid w:val="69847B7E"/>
    <w:rsid w:val="6AB158BE"/>
    <w:rsid w:val="6B3A5E90"/>
    <w:rsid w:val="6BB56CEE"/>
    <w:rsid w:val="6BDE0156"/>
    <w:rsid w:val="6C1907E6"/>
    <w:rsid w:val="6C3030F9"/>
    <w:rsid w:val="6CCE7C4E"/>
    <w:rsid w:val="6D3A1E4D"/>
    <w:rsid w:val="6DBE6C66"/>
    <w:rsid w:val="6F3B4DD8"/>
    <w:rsid w:val="6F814F0E"/>
    <w:rsid w:val="707D6EAA"/>
    <w:rsid w:val="70C774DA"/>
    <w:rsid w:val="71637FD2"/>
    <w:rsid w:val="719B2C89"/>
    <w:rsid w:val="73414B48"/>
    <w:rsid w:val="744768A8"/>
    <w:rsid w:val="76897E86"/>
    <w:rsid w:val="77C3378B"/>
    <w:rsid w:val="77CC6261"/>
    <w:rsid w:val="78243542"/>
    <w:rsid w:val="78A230DC"/>
    <w:rsid w:val="78FF1B25"/>
    <w:rsid w:val="792926D3"/>
    <w:rsid w:val="79562D25"/>
    <w:rsid w:val="7A7D3FF2"/>
    <w:rsid w:val="7A8C54AE"/>
    <w:rsid w:val="7AE242A6"/>
    <w:rsid w:val="7B0F3449"/>
    <w:rsid w:val="7BF71A66"/>
    <w:rsid w:val="7CA97FA9"/>
    <w:rsid w:val="7D12130A"/>
    <w:rsid w:val="7D63222C"/>
    <w:rsid w:val="7F275E1B"/>
    <w:rsid w:val="7FF470C5"/>
    <w:rsid w:val="9EFFF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numPr>
        <w:ilvl w:val="0"/>
        <w:numId w:val="1"/>
      </w:numPr>
      <w:spacing w:before="340" w:after="330" w:line="578" w:lineRule="auto"/>
      <w:outlineLvl w:val="0"/>
    </w:pPr>
    <w:rPr>
      <w:b/>
      <w:bCs/>
      <w:kern w:val="44"/>
      <w:sz w:val="44"/>
      <w:szCs w:val="44"/>
    </w:rPr>
  </w:style>
  <w:style w:type="paragraph" w:styleId="5">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6">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link w:val="40"/>
    <w:semiHidden/>
    <w:unhideWhenUsed/>
    <w:qFormat/>
    <w:uiPriority w:val="99"/>
    <w:pPr>
      <w:widowControl w:val="0"/>
      <w:spacing w:after="120" w:line="240" w:lineRule="auto"/>
      <w:ind w:firstLine="420" w:firstLineChars="100"/>
    </w:pPr>
    <w:rPr>
      <w:rFonts w:asciiTheme="minorHAnsi" w:hAnsiTheme="minorHAnsi" w:eastAsiaTheme="minorEastAsia" w:cstheme="minorBidi"/>
      <w:kern w:val="2"/>
      <w:sz w:val="21"/>
      <w:szCs w:val="22"/>
    </w:rPr>
  </w:style>
  <w:style w:type="paragraph" w:styleId="3">
    <w:name w:val="Body Text"/>
    <w:basedOn w:val="1"/>
    <w:next w:val="1"/>
    <w:link w:val="31"/>
    <w:qFormat/>
    <w:uiPriority w:val="99"/>
    <w:pPr>
      <w:widowControl/>
      <w:spacing w:line="360" w:lineRule="auto"/>
    </w:pPr>
    <w:rPr>
      <w:rFonts w:ascii="Times New Roman" w:hAnsi="Times New Roman" w:eastAsia="宋体" w:cs="Times New Roman"/>
      <w:kern w:val="0"/>
      <w:sz w:val="20"/>
      <w:szCs w:val="20"/>
    </w:rPr>
  </w:style>
  <w:style w:type="paragraph" w:styleId="7">
    <w:name w:val="annotation text"/>
    <w:basedOn w:val="1"/>
    <w:link w:val="42"/>
    <w:semiHidden/>
    <w:unhideWhenUsed/>
    <w:qFormat/>
    <w:uiPriority w:val="99"/>
    <w:pPr>
      <w:jc w:val="left"/>
    </w:pPr>
  </w:style>
  <w:style w:type="paragraph" w:styleId="8">
    <w:name w:val="Body Text Indent"/>
    <w:basedOn w:val="1"/>
    <w:next w:val="9"/>
    <w:qFormat/>
    <w:uiPriority w:val="0"/>
    <w:pPr>
      <w:ind w:firstLine="645"/>
    </w:pPr>
    <w:rPr>
      <w:rFonts w:ascii="楷体_GB2312" w:eastAsia="楷体_GB2312"/>
      <w:sz w:val="32"/>
      <w:szCs w:val="20"/>
    </w:rPr>
  </w:style>
  <w:style w:type="paragraph" w:styleId="9">
    <w:name w:val="Body Text First Indent 2"/>
    <w:basedOn w:val="8"/>
    <w:next w:val="1"/>
    <w:qFormat/>
    <w:uiPriority w:val="99"/>
    <w:pPr>
      <w:spacing w:after="120"/>
      <w:ind w:left="420" w:leftChars="200" w:firstLine="420" w:firstLineChars="200"/>
    </w:pPr>
    <w:rPr>
      <w:sz w:val="21"/>
    </w:rPr>
  </w:style>
  <w:style w:type="paragraph" w:styleId="10">
    <w:name w:val="Plain Text"/>
    <w:basedOn w:val="1"/>
    <w:qFormat/>
    <w:uiPriority w:val="0"/>
    <w:rPr>
      <w:rFonts w:ascii="宋体" w:hAnsi="Courier New"/>
    </w:rPr>
  </w:style>
  <w:style w:type="paragraph" w:styleId="11">
    <w:name w:val="Date"/>
    <w:basedOn w:val="1"/>
    <w:next w:val="1"/>
    <w:link w:val="33"/>
    <w:qFormat/>
    <w:uiPriority w:val="99"/>
    <w:rPr>
      <w:rFonts w:hint="eastAsia" w:ascii="仿宋_GB2312" w:hAnsi="Times New Roman" w:eastAsia="仿宋_GB2312" w:cs="Times New Roman"/>
      <w:kern w:val="0"/>
      <w:sz w:val="32"/>
      <w:szCs w:val="20"/>
    </w:rPr>
  </w:style>
  <w:style w:type="paragraph" w:styleId="12">
    <w:name w:val="Balloon Text"/>
    <w:basedOn w:val="1"/>
    <w:link w:val="38"/>
    <w:semiHidden/>
    <w:unhideWhenUsed/>
    <w:qFormat/>
    <w:uiPriority w:val="99"/>
    <w:rPr>
      <w:sz w:val="18"/>
      <w:szCs w:val="18"/>
    </w:rPr>
  </w:style>
  <w:style w:type="paragraph" w:styleId="13">
    <w:name w:val="footer"/>
    <w:basedOn w:val="1"/>
    <w:link w:val="26"/>
    <w:unhideWhenUsed/>
    <w:qFormat/>
    <w:uiPriority w:val="99"/>
    <w:pPr>
      <w:tabs>
        <w:tab w:val="center" w:pos="4153"/>
        <w:tab w:val="right" w:pos="8306"/>
      </w:tabs>
      <w:snapToGrid w:val="0"/>
      <w:jc w:val="left"/>
    </w:pPr>
    <w:rPr>
      <w:sz w:val="18"/>
      <w:szCs w:val="18"/>
    </w:rPr>
  </w:style>
  <w:style w:type="paragraph" w:styleId="14">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HTML Preformatted"/>
    <w:basedOn w:val="1"/>
    <w:link w:val="3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Arial"/>
      <w:kern w:val="0"/>
      <w:sz w:val="24"/>
      <w:szCs w:val="24"/>
    </w:r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7">
    <w:name w:val="Title"/>
    <w:basedOn w:val="1"/>
    <w:next w:val="1"/>
    <w:link w:val="28"/>
    <w:qFormat/>
    <w:uiPriority w:val="10"/>
    <w:pPr>
      <w:widowControl/>
      <w:spacing w:after="240"/>
      <w:contextualSpacing/>
      <w:jc w:val="center"/>
    </w:pPr>
    <w:rPr>
      <w:rFonts w:ascii="Times New Roman" w:hAnsi="Times New Roman" w:eastAsia="方正小标宋简体"/>
      <w:spacing w:val="5"/>
      <w:kern w:val="28"/>
      <w:sz w:val="36"/>
      <w:szCs w:val="52"/>
    </w:rPr>
  </w:style>
  <w:style w:type="paragraph" w:styleId="18">
    <w:name w:val="annotation subject"/>
    <w:basedOn w:val="7"/>
    <w:next w:val="7"/>
    <w:link w:val="43"/>
    <w:semiHidden/>
    <w:unhideWhenUsed/>
    <w:qFormat/>
    <w:uiPriority w:val="99"/>
    <w:rPr>
      <w:b/>
      <w:bCs/>
    </w:rPr>
  </w:style>
  <w:style w:type="table" w:styleId="20">
    <w:name w:val="Table Grid"/>
    <w:basedOn w:val="1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bCs/>
    </w:rPr>
  </w:style>
  <w:style w:type="character" w:styleId="23">
    <w:name w:val="annotation reference"/>
    <w:semiHidden/>
    <w:qFormat/>
    <w:uiPriority w:val="99"/>
    <w:rPr>
      <w:sz w:val="21"/>
      <w:szCs w:val="21"/>
    </w:rPr>
  </w:style>
  <w:style w:type="paragraph" w:customStyle="1" w:styleId="24">
    <w:name w:val="A正文小四"/>
    <w:basedOn w:val="1"/>
    <w:qFormat/>
    <w:uiPriority w:val="0"/>
    <w:pPr>
      <w:spacing w:before="96" w:after="96"/>
      <w:ind w:firstLine="200" w:firstLineChars="200"/>
    </w:pPr>
    <w:rPr>
      <w:rFonts w:cs="黑体"/>
      <w:sz w:val="24"/>
      <w:szCs w:val="24"/>
    </w:rPr>
  </w:style>
  <w:style w:type="character" w:customStyle="1" w:styleId="25">
    <w:name w:val="页眉 字符"/>
    <w:basedOn w:val="21"/>
    <w:link w:val="14"/>
    <w:qFormat/>
    <w:uiPriority w:val="99"/>
    <w:rPr>
      <w:sz w:val="18"/>
      <w:szCs w:val="18"/>
    </w:rPr>
  </w:style>
  <w:style w:type="character" w:customStyle="1" w:styleId="26">
    <w:name w:val="页脚 字符"/>
    <w:basedOn w:val="21"/>
    <w:link w:val="13"/>
    <w:qFormat/>
    <w:uiPriority w:val="99"/>
    <w:rPr>
      <w:sz w:val="18"/>
      <w:szCs w:val="18"/>
    </w:rPr>
  </w:style>
  <w:style w:type="paragraph" w:styleId="27">
    <w:name w:val="List Paragraph"/>
    <w:basedOn w:val="1"/>
    <w:qFormat/>
    <w:uiPriority w:val="34"/>
    <w:pPr>
      <w:ind w:firstLine="420" w:firstLineChars="200"/>
    </w:pPr>
  </w:style>
  <w:style w:type="character" w:customStyle="1" w:styleId="28">
    <w:name w:val="标题 字符"/>
    <w:link w:val="17"/>
    <w:qFormat/>
    <w:uiPriority w:val="10"/>
    <w:rPr>
      <w:rFonts w:ascii="Times New Roman" w:hAnsi="Times New Roman" w:eastAsia="方正小标宋简体"/>
      <w:spacing w:val="5"/>
      <w:kern w:val="28"/>
      <w:sz w:val="36"/>
      <w:szCs w:val="52"/>
    </w:rPr>
  </w:style>
  <w:style w:type="character" w:customStyle="1" w:styleId="29">
    <w:name w:val="标题 字符1"/>
    <w:basedOn w:val="21"/>
    <w:qFormat/>
    <w:uiPriority w:val="10"/>
    <w:rPr>
      <w:rFonts w:asciiTheme="majorHAnsi" w:hAnsiTheme="majorHAnsi" w:eastAsiaTheme="majorEastAsia" w:cstheme="majorBidi"/>
      <w:b/>
      <w:bCs/>
      <w:sz w:val="32"/>
      <w:szCs w:val="32"/>
    </w:rPr>
  </w:style>
  <w:style w:type="character" w:customStyle="1" w:styleId="30">
    <w:name w:val="HTML 预设格式 字符"/>
    <w:basedOn w:val="21"/>
    <w:link w:val="15"/>
    <w:qFormat/>
    <w:uiPriority w:val="0"/>
    <w:rPr>
      <w:rFonts w:ascii="Arial" w:hAnsi="Arial" w:eastAsia="宋体" w:cs="Arial"/>
      <w:kern w:val="0"/>
      <w:sz w:val="24"/>
      <w:szCs w:val="24"/>
    </w:rPr>
  </w:style>
  <w:style w:type="character" w:customStyle="1" w:styleId="31">
    <w:name w:val="正文文本 字符"/>
    <w:basedOn w:val="21"/>
    <w:link w:val="3"/>
    <w:qFormat/>
    <w:uiPriority w:val="99"/>
    <w:rPr>
      <w:rFonts w:ascii="Times New Roman" w:hAnsi="Times New Roman" w:eastAsia="宋体" w:cs="Times New Roman"/>
      <w:kern w:val="0"/>
      <w:sz w:val="20"/>
      <w:szCs w:val="20"/>
    </w:rPr>
  </w:style>
  <w:style w:type="paragraph" w:customStyle="1" w:styleId="32">
    <w:name w:val="Table Paragraph"/>
    <w:basedOn w:val="1"/>
    <w:qFormat/>
    <w:uiPriority w:val="1"/>
    <w:pPr>
      <w:spacing w:before="102"/>
      <w:jc w:val="center"/>
    </w:pPr>
    <w:rPr>
      <w:rFonts w:ascii="宋体" w:hAnsi="宋体" w:eastAsia="宋体" w:cs="宋体"/>
      <w:lang w:val="zh-CN" w:bidi="zh-CN"/>
    </w:rPr>
  </w:style>
  <w:style w:type="character" w:customStyle="1" w:styleId="33">
    <w:name w:val="日期 字符"/>
    <w:basedOn w:val="21"/>
    <w:link w:val="11"/>
    <w:qFormat/>
    <w:uiPriority w:val="99"/>
    <w:rPr>
      <w:rFonts w:ascii="仿宋_GB2312" w:hAnsi="Times New Roman" w:eastAsia="仿宋_GB2312" w:cs="Times New Roman"/>
      <w:kern w:val="0"/>
      <w:sz w:val="32"/>
      <w:szCs w:val="20"/>
    </w:rPr>
  </w:style>
  <w:style w:type="character" w:customStyle="1" w:styleId="34">
    <w:name w:val="NormalCharacter"/>
    <w:qFormat/>
    <w:uiPriority w:val="0"/>
  </w:style>
  <w:style w:type="paragraph" w:customStyle="1" w:styleId="35">
    <w:name w:val="列出段落1"/>
    <w:basedOn w:val="1"/>
    <w:qFormat/>
    <w:uiPriority w:val="0"/>
    <w:pPr>
      <w:ind w:firstLine="420" w:firstLineChars="200"/>
    </w:pPr>
    <w:rPr>
      <w:rFonts w:ascii="Times New Roman" w:hAnsi="Times New Roman" w:eastAsia="宋体" w:cs="Times New Roman"/>
      <w:szCs w:val="24"/>
    </w:rPr>
  </w:style>
  <w:style w:type="paragraph" w:customStyle="1" w:styleId="36">
    <w:name w:val="正文文本1"/>
    <w:basedOn w:val="1"/>
    <w:qFormat/>
    <w:uiPriority w:val="0"/>
    <w:pPr>
      <w:widowControl/>
      <w:spacing w:line="360" w:lineRule="auto"/>
      <w:outlineLvl w:val="1"/>
    </w:pPr>
    <w:rPr>
      <w:rFonts w:ascii="Times New Roman" w:hAnsi="Times New Roman" w:eastAsia="宋体" w:cs="Times New Roman"/>
      <w:b/>
      <w:bCs/>
      <w:sz w:val="24"/>
      <w:szCs w:val="24"/>
    </w:rPr>
  </w:style>
  <w:style w:type="paragraph" w:customStyle="1" w:styleId="37">
    <w:name w:val="样式 样式 样式 样式 标题 2 + 宋体 五号 非加粗 黑色 + 段前: 6 磅 段后: 0 磅 行距: 单倍行距 + 段前:..."/>
    <w:basedOn w:val="1"/>
    <w:qFormat/>
    <w:uiPriority w:val="99"/>
    <w:pPr>
      <w:keepNext/>
      <w:keepLines/>
      <w:adjustRightInd w:val="0"/>
      <w:spacing w:before="240"/>
      <w:ind w:left="254"/>
      <w:jc w:val="left"/>
      <w:textAlignment w:val="baseline"/>
      <w:outlineLvl w:val="1"/>
    </w:pPr>
    <w:rPr>
      <w:rFonts w:ascii="宋体" w:hAnsi="宋体" w:cs="宋体"/>
      <w:b/>
      <w:bCs/>
      <w:color w:val="000000"/>
      <w:kern w:val="0"/>
    </w:rPr>
  </w:style>
  <w:style w:type="character" w:customStyle="1" w:styleId="38">
    <w:name w:val="批注框文本 字符"/>
    <w:basedOn w:val="21"/>
    <w:link w:val="12"/>
    <w:semiHidden/>
    <w:qFormat/>
    <w:uiPriority w:val="99"/>
    <w:rPr>
      <w:rFonts w:asciiTheme="minorHAnsi" w:hAnsiTheme="minorHAnsi" w:eastAsiaTheme="minorEastAsia" w:cstheme="minorBidi"/>
      <w:kern w:val="2"/>
      <w:sz w:val="18"/>
      <w:szCs w:val="18"/>
    </w:rPr>
  </w:style>
  <w:style w:type="paragraph" w:customStyle="1" w:styleId="39">
    <w:name w:val="样式4"/>
    <w:basedOn w:val="1"/>
    <w:qFormat/>
    <w:uiPriority w:val="0"/>
  </w:style>
  <w:style w:type="character" w:customStyle="1" w:styleId="40">
    <w:name w:val="正文文本首行缩进 字符"/>
    <w:basedOn w:val="31"/>
    <w:link w:val="2"/>
    <w:semiHidden/>
    <w:qFormat/>
    <w:uiPriority w:val="99"/>
    <w:rPr>
      <w:rFonts w:asciiTheme="minorHAnsi" w:hAnsiTheme="minorHAnsi" w:eastAsiaTheme="minorEastAsia" w:cstheme="minorBidi"/>
      <w:kern w:val="2"/>
      <w:sz w:val="21"/>
      <w:szCs w:val="22"/>
    </w:rPr>
  </w:style>
  <w:style w:type="paragraph" w:customStyle="1" w:styleId="41">
    <w:name w:val="修订1"/>
    <w:hidden/>
    <w:unhideWhenUsed/>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character" w:customStyle="1" w:styleId="42">
    <w:name w:val="批注文字 字符"/>
    <w:basedOn w:val="21"/>
    <w:link w:val="7"/>
    <w:semiHidden/>
    <w:qFormat/>
    <w:uiPriority w:val="99"/>
    <w:rPr>
      <w:rFonts w:asciiTheme="minorHAnsi" w:hAnsiTheme="minorHAnsi" w:eastAsiaTheme="minorEastAsia" w:cstheme="minorBidi"/>
      <w:kern w:val="2"/>
      <w:sz w:val="21"/>
      <w:szCs w:val="22"/>
    </w:rPr>
  </w:style>
  <w:style w:type="character" w:customStyle="1" w:styleId="43">
    <w:name w:val="批注主题 字符"/>
    <w:basedOn w:val="42"/>
    <w:link w:val="18"/>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11</Pages>
  <Words>2437</Words>
  <Characters>2707</Characters>
  <Lines>217</Lines>
  <Paragraphs>169</Paragraphs>
  <TotalTime>1</TotalTime>
  <ScaleCrop>false</ScaleCrop>
  <LinksUpToDate>false</LinksUpToDate>
  <CharactersWithSpaces>2852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2022-01-25T09:02:00Z</dcterms:created>
  <dc:creator>j4</dc:creator>
  <cp:lastModifiedBy>麦田的麦子</cp:lastModifiedBy>
  <cp:lastPrinted>2024-08-28T08:48:00Z</cp:lastPrinted>
  <dcterms:modified xsi:type="dcterms:W3CDTF">2026-09-03T01:29:22Z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3ECFA9D3DFC74702BA72747FB845DB4C_13</vt:lpwstr>
  </property>
  <property fmtid="{D5CDD505-2E9C-101B-9397-08002B2CF9AE}" pid="4" name="KSOTemplateDocerSaveRecord">
    <vt:lpwstr>eyJoZGlkIjoiOTA0NDI5MjlmNjhiZDIwYTQ1ODZjZWE5Mzk2ZjIyMTIiLCJ1c2VySWQiOiI0MzU1NTcwODIifQ==</vt:lpwstr>
  </property>
</Properties>
</file>