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848B4">
      <w:pPr>
        <w:rPr>
          <w:rFonts w:ascii="方正小标宋简体" w:eastAsia="方正小标宋简体" w:hAnsiTheme="majorEastAsia"/>
          <w:sz w:val="36"/>
          <w:szCs w:val="36"/>
        </w:rPr>
      </w:pPr>
      <w:r>
        <w:rPr>
          <w:rFonts w:ascii="方正小标宋简体" w:eastAsia="方正小标宋简体"/>
          <w:b/>
          <w:color w:val="FF0000"/>
          <w:sz w:val="72"/>
          <w:szCs w:val="72"/>
        </w:rPr>
        <w:pict>
          <v:shape id="_x0000_i1025" o:spt="136" type="#_x0000_t136" style="height:42.75pt;width:396.3pt;" fillcolor="#FF0000" filled="t" stroked="t" coordsize="21600,21600">
            <v:path/>
            <v:fill on="t" focussize="0,0"/>
            <v:stroke color="#FF0000"/>
            <v:imagedata o:title=""/>
            <o:lock v:ext="edit"/>
            <v:textpath on="t" fitshape="t" fitpath="t" trim="t" xscale="f" string="北京西站地区管理委员会" style="font-family:方正小标宋简体;font-size:36pt;v-text-align:center;"/>
            <w10:wrap type="none"/>
            <w10:anchorlock/>
          </v:shape>
        </w:pict>
      </w:r>
    </w:p>
    <w:p w14:paraId="678D27A0">
      <w:pPr>
        <w:ind w:right="225" w:rightChars="107"/>
        <w:jc w:val="center"/>
        <w:rPr>
          <w:rFonts w:ascii="方正小标宋简体" w:eastAsia="方正小标宋简体" w:hAnsiTheme="majorEastAsia"/>
          <w:sz w:val="36"/>
          <w:szCs w:val="36"/>
        </w:rPr>
      </w:pPr>
      <w:r>
        <w:rPr>
          <w:rFonts w:ascii="方正小标宋简体" w:eastAsia="方正小标宋简体" w:hAnsiTheme="majorEastAsia"/>
          <w:sz w:val="36"/>
          <w:szCs w:val="36"/>
        </w:rPr>
        <w:pict>
          <v:shape id="_x0000_s1026" o:spid="_x0000_s1026" o:spt="32" type="#_x0000_t32" style="position:absolute;left:0pt;margin-left:-0.75pt;margin-top:25.85pt;height:0pt;width:405.1pt;z-index:251659264;mso-width-relative:page;mso-height-relative:page;" o:connectortype="straight" filled="f" stroked="t" coordsize="21600,21600">
            <v:path arrowok="t"/>
            <v:fill on="f" focussize="0,0"/>
            <v:stroke weight="2pt" color="#FF0000"/>
            <v:imagedata o:title=""/>
            <o:lock v:ext="edit"/>
          </v:shape>
        </w:pict>
      </w:r>
    </w:p>
    <w:p w14:paraId="7D27450D">
      <w:pPr>
        <w:adjustRightInd w:val="0"/>
        <w:snapToGrid w:val="0"/>
        <w:spacing w:line="560" w:lineRule="exact"/>
        <w:jc w:val="center"/>
        <w:rPr>
          <w:rFonts w:ascii="方正小标宋简体" w:eastAsia="方正小标宋简体" w:hAnsiTheme="majorEastAsia"/>
          <w:sz w:val="44"/>
          <w:szCs w:val="44"/>
        </w:rPr>
      </w:pPr>
      <w:bookmarkStart w:id="0" w:name="OLE_LINK3"/>
      <w:r>
        <w:rPr>
          <w:rFonts w:hint="eastAsia" w:ascii="方正小标宋简体" w:eastAsia="方正小标宋简体" w:hAnsiTheme="majorEastAsia"/>
          <w:sz w:val="44"/>
          <w:szCs w:val="44"/>
        </w:rPr>
        <w:t>北京西站地区管理委员会</w:t>
      </w:r>
    </w:p>
    <w:p w14:paraId="0924F1A2">
      <w:pPr>
        <w:adjustRightInd w:val="0"/>
        <w:snapToGrid w:val="0"/>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2018年政府信息公开工作年度报告</w:t>
      </w:r>
    </w:p>
    <w:p w14:paraId="379A779C">
      <w:pPr>
        <w:adjustRightInd w:val="0"/>
        <w:snapToGrid w:val="0"/>
        <w:spacing w:line="560" w:lineRule="exact"/>
        <w:ind w:firstLine="640" w:firstLineChars="200"/>
        <w:jc w:val="left"/>
        <w:rPr>
          <w:rFonts w:ascii="仿宋_GB2312" w:eastAsia="仿宋_GB2312" w:hAnsiTheme="majorEastAsia"/>
          <w:sz w:val="32"/>
          <w:szCs w:val="32"/>
        </w:rPr>
      </w:pPr>
    </w:p>
    <w:p w14:paraId="5E16DE1B">
      <w:pPr>
        <w:adjustRightInd w:val="0"/>
        <w:snapToGrid w:val="0"/>
        <w:spacing w:line="540" w:lineRule="exact"/>
        <w:ind w:firstLine="640" w:firstLineChars="200"/>
        <w:rPr>
          <w:rFonts w:ascii="仿宋_GB2312" w:eastAsia="仿宋_GB2312" w:hAnsiTheme="majorEastAsia"/>
          <w:sz w:val="32"/>
          <w:szCs w:val="32"/>
        </w:rPr>
      </w:pPr>
      <w:bookmarkStart w:id="1" w:name="OLE_LINK2"/>
      <w:r>
        <w:rPr>
          <w:rFonts w:hint="eastAsia" w:ascii="仿宋_GB2312" w:eastAsia="仿宋_GB2312" w:hAnsiTheme="majorEastAsia"/>
          <w:sz w:val="32"/>
          <w:szCs w:val="32"/>
        </w:rPr>
        <w:t>本报告是根据《中华人民共和国政府信息公开条例》和《北京市政府信息公开规定》要求，结合2018年度政府信息公开工作实际，由北京西站地区管理委员会编制。</w:t>
      </w:r>
    </w:p>
    <w:p w14:paraId="6697A3EA">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全文包括落实《北京市2018年政务公开工作要点》，以及政府信息公开组织机构、制度建设、渠道场所、教育培训等工作情况；主动公开政府信息的情况；依申请公开政府信息和不予公开政府信息的情况；因政府信息公开申请行政复议、提起行政诉讼的情况；政府信息公开工作存在的不足以及改进措施和其他需要报告的事项。</w:t>
      </w:r>
    </w:p>
    <w:p w14:paraId="0AED6D4C">
      <w:pPr>
        <w:widowControl/>
        <w:adjustRightInd w:val="0"/>
        <w:snapToGrid w:val="0"/>
        <w:spacing w:line="540" w:lineRule="exact"/>
        <w:ind w:firstLine="640" w:firstLineChars="200"/>
        <w:rPr>
          <w:rFonts w:ascii="仿宋_GB2312" w:hAnsi="宋体" w:eastAsia="仿宋_GB2312" w:cs="宋体"/>
          <w:kern w:val="15"/>
          <w:sz w:val="32"/>
          <w:szCs w:val="32"/>
        </w:rPr>
      </w:pPr>
      <w:r>
        <w:rPr>
          <w:rFonts w:hint="eastAsia" w:ascii="仿宋_GB2312" w:hAnsi="宋体" w:eastAsia="仿宋_GB2312" w:cs="宋体"/>
          <w:kern w:val="0"/>
          <w:sz w:val="32"/>
          <w:szCs w:val="32"/>
        </w:rPr>
        <w:t>本报告中所列数据的统计期限自2018年1月1日起，至2018年12月31日止。本报告的电子</w:t>
      </w:r>
      <w:r>
        <w:rPr>
          <w:rFonts w:hint="eastAsia" w:ascii="仿宋_GB2312" w:hAnsi="宋体" w:eastAsia="仿宋_GB2312" w:cs="宋体"/>
          <w:spacing w:val="-2"/>
          <w:kern w:val="0"/>
          <w:sz w:val="32"/>
          <w:szCs w:val="32"/>
        </w:rPr>
        <w:t>版可在</w:t>
      </w:r>
      <w:r>
        <w:rPr>
          <w:rFonts w:hint="eastAsia" w:ascii="仿宋_GB2312" w:eastAsia="仿宋_GB2312" w:hAnsiTheme="majorEastAsia"/>
          <w:sz w:val="32"/>
          <w:szCs w:val="32"/>
        </w:rPr>
        <w:t>西站地区管委会门户网站上（http://xzgw.beijing.gov.cn/）</w:t>
      </w:r>
      <w:r>
        <w:rPr>
          <w:rFonts w:hint="eastAsia" w:ascii="仿宋_GB2312" w:hAnsi="宋体" w:eastAsia="仿宋_GB2312" w:cs="宋体"/>
          <w:spacing w:val="-2"/>
          <w:kern w:val="0"/>
          <w:sz w:val="32"/>
          <w:szCs w:val="32"/>
        </w:rPr>
        <w:t>下载。</w:t>
      </w:r>
      <w:r>
        <w:rPr>
          <w:rFonts w:hint="eastAsia" w:ascii="仿宋_GB2312" w:eastAsia="仿宋_GB2312" w:hAnsiTheme="majorEastAsia"/>
          <w:sz w:val="32"/>
          <w:szCs w:val="32"/>
        </w:rPr>
        <w:t>如对本报告有任何疑问，请联系：西站地区管委会办公室，联系电话：63345681。</w:t>
      </w:r>
    </w:p>
    <w:p w14:paraId="02E2011D">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一、概述</w:t>
      </w:r>
    </w:p>
    <w:p w14:paraId="1CAC865F">
      <w:pPr>
        <w:pStyle w:val="5"/>
        <w:shd w:val="clear" w:color="auto" w:fill="FFFFFF"/>
        <w:adjustRightInd w:val="0"/>
        <w:snapToGrid w:val="0"/>
        <w:spacing w:before="0" w:beforeAutospacing="0" w:after="0" w:afterAutospacing="0" w:line="540" w:lineRule="exact"/>
        <w:ind w:firstLine="645"/>
        <w:jc w:val="both"/>
        <w:rPr>
          <w:rFonts w:ascii="仿宋_GB2312" w:hAnsi="Times New Roman" w:eastAsia="仿宋_GB2312" w:cs="Times New Roman"/>
          <w:color w:val="000000"/>
          <w:sz w:val="32"/>
          <w:szCs w:val="32"/>
        </w:rPr>
      </w:pPr>
      <w:r>
        <w:rPr>
          <w:rFonts w:hint="eastAsia" w:ascii="仿宋_GB2312" w:hAnsi="仿宋" w:eastAsia="仿宋_GB2312"/>
          <w:sz w:val="32"/>
          <w:szCs w:val="32"/>
        </w:rPr>
        <w:t>2018年，北京西站地区管委会</w:t>
      </w:r>
      <w:r>
        <w:rPr>
          <w:rFonts w:hint="eastAsia" w:ascii="仿宋_GB2312" w:hAnsi="仿宋" w:eastAsia="仿宋_GB2312" w:cs="仿宋_GB2312"/>
          <w:sz w:val="32"/>
          <w:szCs w:val="32"/>
        </w:rPr>
        <w:t>全面贯彻落实党的十九大和十九届二中、三中全会精神，以习近平新时代中国特色社会主义思想为指导，牢固树立“四个意识”，坚持以人民为中心的发展思想，</w:t>
      </w:r>
      <w:r>
        <w:rPr>
          <w:rFonts w:hint="eastAsia" w:ascii="仿宋_GB2312" w:hAnsi="仿宋" w:eastAsia="仿宋_GB2312"/>
          <w:sz w:val="32"/>
          <w:szCs w:val="32"/>
        </w:rPr>
        <w:t>认真贯彻落实《中华人民共和国政府信息公开条例》和政务公开相关部署要求，紧密结合西站地区管委会工作实际，</w:t>
      </w:r>
      <w:r>
        <w:rPr>
          <w:rFonts w:hint="eastAsia" w:ascii="仿宋_GB2312" w:eastAsia="仿宋_GB2312"/>
          <w:sz w:val="32"/>
          <w:szCs w:val="32"/>
        </w:rPr>
        <w:t>完善制度，严格程序，细化落实，加强解读回应，不断优化平台建设，推进政务公开工作稳步提升。</w:t>
      </w:r>
    </w:p>
    <w:p w14:paraId="1665A902">
      <w:pPr>
        <w:adjustRightInd w:val="0"/>
        <w:snapToGrid w:val="0"/>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（一）落实《北京市2018年政务公开工作要点》情况</w:t>
      </w:r>
    </w:p>
    <w:p w14:paraId="5F95AD2E">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hAnsiTheme="majorEastAsia"/>
          <w:sz w:val="32"/>
          <w:szCs w:val="32"/>
        </w:rPr>
        <w:t>2018年，西站地区管委会政务公开工作领导小组先后召开2次工作会和2次专题会，研究政务公开相关制度机制、人员队伍建设、平台建设等工作，结合西站地区政务公开工作需要，明确年度政务公开工作要点。</w:t>
      </w:r>
      <w:r>
        <w:rPr>
          <w:rFonts w:hint="eastAsia" w:ascii="仿宋_GB2312" w:eastAsia="仿宋_GB2312"/>
          <w:sz w:val="32"/>
          <w:szCs w:val="32"/>
        </w:rPr>
        <w:t>根据工作实际，配优配强西站地区管委会政务公开工作人员队伍。按要求编制发布《北京西站地区管理委员会2017年政府信息公开工作年度报告》。</w:t>
      </w:r>
    </w:p>
    <w:p w14:paraId="46946AC9">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1.重大决策预公开方面。</w:t>
      </w:r>
      <w:r>
        <w:rPr>
          <w:rFonts w:hint="eastAsia" w:ascii="仿宋_GB2312" w:eastAsia="仿宋_GB2312"/>
          <w:sz w:val="32"/>
          <w:szCs w:val="32"/>
        </w:rPr>
        <w:t>2018年，西站地区管委会</w:t>
      </w:r>
      <w:r>
        <w:rPr>
          <w:rFonts w:hint="eastAsia" w:ascii="仿宋_GB2312" w:hAnsi="黑体" w:eastAsia="仿宋_GB2312"/>
          <w:sz w:val="32"/>
          <w:szCs w:val="32"/>
        </w:rPr>
        <w:t>及时</w:t>
      </w:r>
      <w:r>
        <w:rPr>
          <w:rFonts w:hint="eastAsia" w:ascii="仿宋_GB2312" w:eastAsia="仿宋_GB2312"/>
          <w:sz w:val="32"/>
          <w:szCs w:val="32"/>
        </w:rPr>
        <w:t>主动做好地区重大决策事项预公开工作。包括</w:t>
      </w:r>
      <w:r>
        <w:rPr>
          <w:rFonts w:hint="eastAsia" w:ascii="仿宋_GB2312" w:hAnsi="黑体" w:eastAsia="仿宋_GB2312"/>
          <w:sz w:val="32"/>
          <w:szCs w:val="32"/>
        </w:rPr>
        <w:t>年度财政预算报告及其执行情况，涉及公务员录用、选拔任用等条件、程序和结果等事项。</w:t>
      </w:r>
      <w:r>
        <w:rPr>
          <w:rFonts w:hint="eastAsia" w:ascii="仿宋_GB2312" w:eastAsia="仿宋_GB2312"/>
          <w:sz w:val="32"/>
          <w:szCs w:val="32"/>
        </w:rPr>
        <w:t>围绕地区重点时期服务保障、重点工作任务、重要事项等，及时公开地区春运、暑运工作方案，通过门户网站、政务新媒体等渠道发布设置临时落客区、改造北广场二层平台等服务新举措，持续关注社会各界的反馈，积极收集意见建议，并及时向社会公开意见采纳情况。</w:t>
      </w:r>
    </w:p>
    <w:p w14:paraId="1C70B737">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hAnsiTheme="majorEastAsia"/>
          <w:sz w:val="32"/>
          <w:szCs w:val="32"/>
        </w:rPr>
        <w:t>2.会议开放方面。西站地区管委会高度重视地区会议开放工作，</w:t>
      </w:r>
      <w:r>
        <w:rPr>
          <w:rFonts w:hint="eastAsia" w:ascii="仿宋_GB2312" w:eastAsia="仿宋_GB2312"/>
          <w:sz w:val="32"/>
          <w:szCs w:val="32"/>
        </w:rPr>
        <w:t>对涉及</w:t>
      </w:r>
      <w:bookmarkStart w:id="3" w:name="_GoBack"/>
      <w:bookmarkEnd w:id="3"/>
      <w:r>
        <w:rPr>
          <w:rFonts w:hint="eastAsia" w:ascii="仿宋_GB2312" w:eastAsia="仿宋_GB2312"/>
          <w:sz w:val="32"/>
          <w:szCs w:val="32"/>
        </w:rPr>
        <w:t>地区各方的工作事项，积极主动邀请地区职能部门、运行保障单位以及地区企业参与到工作会议中。2018年全年，西站地区管委会共对外开放会议38次，主要包括地区环境建设</w:t>
      </w:r>
      <w:r>
        <w:rPr>
          <w:rFonts w:hint="eastAsia" w:ascii="仿宋_GB2312" w:eastAsia="仿宋_GB2312" w:hAnsiTheme="majorEastAsia"/>
          <w:sz w:val="32"/>
          <w:szCs w:val="32"/>
        </w:rPr>
        <w:t>大会</w:t>
      </w:r>
      <w:r>
        <w:rPr>
          <w:rFonts w:hint="eastAsia" w:ascii="仿宋_GB2312" w:eastAsia="仿宋_GB2312"/>
          <w:sz w:val="32"/>
          <w:szCs w:val="32"/>
        </w:rPr>
        <w:t>、精神文明建设</w:t>
      </w:r>
      <w:r>
        <w:rPr>
          <w:rFonts w:hint="eastAsia" w:ascii="仿宋_GB2312" w:eastAsia="仿宋_GB2312" w:hAnsiTheme="majorEastAsia"/>
          <w:sz w:val="32"/>
          <w:szCs w:val="32"/>
        </w:rPr>
        <w:t>大会</w:t>
      </w:r>
      <w:r>
        <w:rPr>
          <w:rFonts w:hint="eastAsia" w:ascii="仿宋_GB2312" w:eastAsia="仿宋_GB2312"/>
          <w:sz w:val="32"/>
          <w:szCs w:val="32"/>
        </w:rPr>
        <w:t>、春暑运新闻发布会、安全生产工作会、重点时期地区服务保障工作会议等，</w:t>
      </w:r>
      <w:r>
        <w:rPr>
          <w:rFonts w:hint="eastAsia" w:ascii="仿宋_GB2312" w:eastAsia="仿宋_GB2312" w:hAnsiTheme="majorEastAsia"/>
          <w:sz w:val="32"/>
          <w:szCs w:val="32"/>
        </w:rPr>
        <w:t>确保了各项决策更加科学、民主。</w:t>
      </w:r>
    </w:p>
    <w:p w14:paraId="3C098C06">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此外，西站地区城管分局积极组织地区单位、商户和群众开展以“共建共治 共享美丽西站”为主题的城管开放日活动。</w:t>
      </w:r>
    </w:p>
    <w:p w14:paraId="383EEE3F">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重点民生事项方面。西站地区管委会牢固树立以人民为中心的发展思想，以满足旅客出行需求为根本，持续加强地区治理、改善出行环境、提升服务品质，并通过管委会门户网站、政务新媒体及市级媒体进行公开和报道，提高社会公众知晓率，各项具体工作和服务举措获得广泛好评。</w:t>
      </w:r>
    </w:p>
    <w:p w14:paraId="685C660F">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一是持续疏解整治。全年完成环境建设任务151项，超额完成18.1%。拆除违法建设44处5807平方米，腾退占用公共空间6712平方米，封堵开墙打洞50平方米，拆违还绿及北广场主路中心绿化带绿化4350平方米，拆除户外广告牌匾标识63块，清理天际线痕迹8处，市容景观水平全面提升。</w:t>
      </w:r>
    </w:p>
    <w:p w14:paraId="6956EA00">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二是优化通行环境。铺设人行步道1000余平方米，维修加固护栏2500米。完成南广场环岛拓宽及广莲路落客区设施改造、南广场出租车调度站设施优化、公安路区域道路改造、北广场二层平台拓宽及东西螺旋盘道设施优化、北负一层东西环廊装饰装修、北负一层通道消隐、公安分局及西社会停车场北侧步道改造等工程，地区通行能力整体提升。</w:t>
      </w:r>
    </w:p>
    <w:p w14:paraId="5BA01BCF">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是提升环境品质。完成出站系统结构隐患整改、通风系统改造、电力隐患整改增容等，大幅提升出站系统安全性及7.8万平方米通风温控条件。升级改造地区5个停车场环境及设施，增加ETC、手持收费及微信、支付宝、APP等移动支付功能，旅客出行环境显著提升。</w:t>
      </w:r>
    </w:p>
    <w:p w14:paraId="5F815E03">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是完善服务设施。腾退北负一层东西环廊作为旅客安置区，打通出站系统公共楼梯，安装直梯2部，设置座椅150套。新增6个咨询引导、志愿服务岗，增设一键报警咨询服务装置32个，优化调整出行导向标识150处，设置应急定位标识120处，完善最新出行导图点位23处，全面提升旅客服务能力。</w:t>
      </w:r>
    </w:p>
    <w:p w14:paraId="5F174733">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是实施亮化美化。在地区沿线道路两侧、北下沉广场等区域增设箱体绿植、种植月季树等。完善地区景观照明设施，增加轮廓灯4310米，投光灯1027盏。重大活动、重要节日期间，悬挂灯笼、中国结，张挂LED灯带、树灯、串灯等，提升旅客视觉观感，地区环境愈加亮丽。</w:t>
      </w:r>
    </w:p>
    <w:p w14:paraId="2A8AD855">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是加强环卫保洁。全面深化爱国卫生工作，加强门前三包、环境卫生、病媒生物防制、食药安全等日常执法和督导检查。开展保洁服务技能竞赛，组织保洁员培训2860人次。累计出动人员241026人次，清理小广告43102张，冲刷作业550.7万平方米，车辆、机械作业73312小时，收集转运垃圾1264车次21019.5吨。</w:t>
      </w:r>
    </w:p>
    <w:p w14:paraId="7ECCECF8">
      <w:pPr>
        <w:adjustRightInd w:val="0"/>
        <w:snapToGrid w:val="0"/>
        <w:spacing w:line="540" w:lineRule="exact"/>
        <w:ind w:firstLine="640" w:firstLineChars="200"/>
        <w:rPr>
          <w:rFonts w:ascii="楷体_GB2312" w:eastAsia="楷体_GB2312" w:hAnsiTheme="majorEastAsia"/>
          <w:b/>
          <w:sz w:val="32"/>
          <w:szCs w:val="32"/>
        </w:rPr>
      </w:pPr>
      <w:r>
        <w:rPr>
          <w:rFonts w:hint="eastAsia" w:ascii="楷体_GB2312" w:hAnsi="楷体" w:eastAsia="楷体_GB2312"/>
          <w:sz w:val="32"/>
          <w:szCs w:val="32"/>
        </w:rPr>
        <w:t>（二）政府信息公开组织机构和制度建设情况</w:t>
      </w:r>
    </w:p>
    <w:p w14:paraId="595CFEC4">
      <w:pPr>
        <w:pStyle w:val="5"/>
        <w:shd w:val="clear" w:color="auto" w:fill="FFFFFF"/>
        <w:adjustRightInd w:val="0"/>
        <w:snapToGrid w:val="0"/>
        <w:spacing w:before="0" w:beforeAutospacing="0" w:after="0" w:afterAutospacing="0" w:line="540" w:lineRule="exact"/>
        <w:ind w:firstLine="646"/>
        <w:jc w:val="both"/>
        <w:rPr>
          <w:rFonts w:ascii="仿宋_GB2312" w:eastAsia="仿宋_GB2312" w:cs="仿宋_GB2312"/>
          <w:sz w:val="32"/>
          <w:szCs w:val="32"/>
        </w:rPr>
      </w:pPr>
      <w:r>
        <w:rPr>
          <w:rFonts w:hint="eastAsia" w:ascii="仿宋_GB2312" w:eastAsia="仿宋_GB2312" w:hAnsiTheme="majorEastAsia"/>
          <w:sz w:val="32"/>
          <w:szCs w:val="32"/>
        </w:rPr>
        <w:t>健全组织机构，形成工作合力。西站地区管委会</w:t>
      </w:r>
      <w:r>
        <w:rPr>
          <w:rFonts w:hint="eastAsia" w:ascii="仿宋_GB2312" w:hAnsi="仿宋" w:eastAsia="仿宋_GB2312" w:cs="Times New Roman"/>
          <w:color w:val="000000"/>
          <w:sz w:val="32"/>
          <w:szCs w:val="32"/>
        </w:rPr>
        <w:t>主要领导及主管领导高度重视政务公开工作，</w:t>
      </w:r>
      <w:r>
        <w:rPr>
          <w:rFonts w:hint="eastAsia" w:ascii="仿宋_GB2312" w:eastAsia="仿宋_GB2312" w:hAnsiTheme="majorEastAsia"/>
          <w:sz w:val="32"/>
          <w:szCs w:val="32"/>
        </w:rPr>
        <w:t>为加强对政府信息和政务公开工作的组织领导，</w:t>
      </w:r>
      <w:r>
        <w:rPr>
          <w:rFonts w:hint="eastAsia" w:ascii="仿宋_GB2312" w:hAnsi="仿宋" w:eastAsia="仿宋_GB2312" w:cs="Times New Roman"/>
          <w:color w:val="000000"/>
          <w:sz w:val="32"/>
          <w:szCs w:val="32"/>
        </w:rPr>
        <w:t>成立了由</w:t>
      </w:r>
      <w:r>
        <w:rPr>
          <w:rFonts w:hint="eastAsia" w:ascii="仿宋_GB2312" w:eastAsia="仿宋_GB2312" w:hAnsiTheme="majorEastAsia"/>
          <w:sz w:val="32"/>
          <w:szCs w:val="32"/>
        </w:rPr>
        <w:t>主管主任担任组长的</w:t>
      </w:r>
      <w:r>
        <w:rPr>
          <w:rFonts w:hint="eastAsia" w:ascii="仿宋_GB2312" w:eastAsia="仿宋_GB2312" w:cs="仿宋_GB2312"/>
          <w:sz w:val="32"/>
          <w:szCs w:val="32"/>
        </w:rPr>
        <w:t>政府信息公开工作领导小组，办公室为具体办事机构。同时明确了管委会各部门（单位）负责人为领导小组成员，对本部门（单位）政务公开工作负总责。年内，根据工作实际，对领导小组及办公室成员进行调整，进一步配优配强了管委会政务公开工作干部队伍。</w:t>
      </w:r>
    </w:p>
    <w:p w14:paraId="613AA509">
      <w:pPr>
        <w:pStyle w:val="5"/>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rPr>
      </w:pPr>
      <w:r>
        <w:rPr>
          <w:rFonts w:hint="eastAsia" w:ascii="仿宋_GB2312" w:eastAsia="仿宋_GB2312" w:hAnsiTheme="majorEastAsia"/>
          <w:sz w:val="32"/>
          <w:szCs w:val="32"/>
        </w:rPr>
        <w:t>领导小组分工明确、各负其责，加强联动、形成合力，</w:t>
      </w:r>
      <w:r>
        <w:rPr>
          <w:rFonts w:hint="eastAsia" w:ascii="仿宋_GB2312" w:hAnsi="仿宋" w:eastAsia="仿宋_GB2312" w:cs="Times New Roman"/>
          <w:color w:val="000000"/>
          <w:sz w:val="32"/>
          <w:szCs w:val="32"/>
        </w:rPr>
        <w:t>办公室作为政务公开日常办事机构，加强与法规处、宣传处、人事处等部门（单位）的沟通协调，为统筹推进政府信息和政务公开工作发挥积极作用。2018年，多次对重点领域信息公开、解读回应、加强平台建设，以及依申请公开等工作进行研究，保障了政府信息公开工作合法合规、及时便民。</w:t>
      </w:r>
    </w:p>
    <w:p w14:paraId="70672AAA">
      <w:pPr>
        <w:pStyle w:val="5"/>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rPr>
      </w:pPr>
      <w:r>
        <w:rPr>
          <w:rFonts w:hint="eastAsia" w:ascii="仿宋_GB2312" w:eastAsia="仿宋_GB2312" w:hAnsiTheme="majorEastAsia"/>
          <w:sz w:val="32"/>
          <w:szCs w:val="32"/>
        </w:rPr>
        <w:t>完善公开制度，加强督促落实。西站地区管委会</w:t>
      </w:r>
      <w:r>
        <w:rPr>
          <w:rFonts w:hint="eastAsia" w:ascii="仿宋_GB2312" w:hAnsi="仿宋" w:eastAsia="仿宋_GB2312" w:cs="Times New Roman"/>
          <w:color w:val="000000"/>
          <w:sz w:val="32"/>
          <w:szCs w:val="32"/>
        </w:rPr>
        <w:t>持续加强政府信息公开的规范化、制度化建设。全面梳理公文</w:t>
      </w:r>
      <w:r>
        <w:rPr>
          <w:rFonts w:hint="eastAsia" w:ascii="仿宋_GB2312" w:eastAsia="仿宋_GB2312" w:hAnsiTheme="majorEastAsia"/>
          <w:sz w:val="32"/>
          <w:szCs w:val="32"/>
        </w:rPr>
        <w:t>公开属性源头管理制度、信息发布审查制度、政府信息公开实施办法等制度规定，形成管委会制度汇编。严格落实首问负责、一次性告知、服务承诺、限时办结、责任追究和效能评估等制度，以加强日常监督为抓手，把政府信息公开工作与部门（单位）年度工作目标管理责任制和年度考核直接挂钩，在部门（单位）年度量化考核中明确政务公开工作专项考评指标，为政府信息和政务公开提供有力的制度保障。</w:t>
      </w:r>
    </w:p>
    <w:p w14:paraId="0D79FACE">
      <w:pPr>
        <w:pStyle w:val="5"/>
        <w:shd w:val="clear" w:color="auto" w:fill="FFFFFF"/>
        <w:adjustRightInd w:val="0"/>
        <w:snapToGrid w:val="0"/>
        <w:spacing w:before="0" w:beforeAutospacing="0" w:after="0" w:afterAutospacing="0" w:line="540" w:lineRule="exact"/>
        <w:ind w:firstLine="645"/>
        <w:jc w:val="both"/>
        <w:rPr>
          <w:rFonts w:ascii="仿宋_GB2312" w:eastAsia="仿宋_GB2312" w:hAnsiTheme="majorEastAsia"/>
          <w:sz w:val="32"/>
          <w:szCs w:val="32"/>
          <w:u w:val="single"/>
        </w:rPr>
      </w:pPr>
      <w:r>
        <w:rPr>
          <w:rFonts w:hint="eastAsia" w:ascii="仿宋_GB2312" w:eastAsia="仿宋_GB2312"/>
          <w:sz w:val="32"/>
          <w:szCs w:val="32"/>
        </w:rPr>
        <w:t>根据西站地区管委会政府信息公开工作相关制度要求，信息发布前严格执行制作（提出）部门“内审”和政府信息公开工作领导小组“联审”，对公开内容表述、公开时间、公开方式等进行审核研判，确保公开的政府信息准确、权威。</w:t>
      </w:r>
    </w:p>
    <w:p w14:paraId="34E28035">
      <w:pPr>
        <w:pStyle w:val="12"/>
        <w:adjustRightInd w:val="0"/>
        <w:snapToGrid w:val="0"/>
        <w:spacing w:line="54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完善新闻发布、政务新媒体管理等相关制度，严格审核发布流程和内容，进一步规范政务新媒体建设管理。</w:t>
      </w:r>
    </w:p>
    <w:p w14:paraId="11FD0B56">
      <w:pPr>
        <w:adjustRightInd w:val="0"/>
        <w:snapToGrid w:val="0"/>
        <w:spacing w:line="540" w:lineRule="exact"/>
        <w:ind w:firstLine="640" w:firstLineChars="200"/>
        <w:rPr>
          <w:rFonts w:ascii="楷体_GB2312" w:hAnsi="楷体" w:eastAsia="楷体_GB2312"/>
          <w:sz w:val="32"/>
          <w:szCs w:val="32"/>
        </w:rPr>
      </w:pPr>
      <w:r>
        <w:rPr>
          <w:rFonts w:hint="eastAsia" w:ascii="楷体_GB2312" w:hAnsi="楷体" w:eastAsia="楷体_GB2312"/>
          <w:sz w:val="32"/>
          <w:szCs w:val="32"/>
        </w:rPr>
        <w:t>（三）政府信息和政务公开渠道场所建设情况</w:t>
      </w:r>
    </w:p>
    <w:p w14:paraId="198A768D">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西站地区管委会认真落实《政府网站发展指引》，严格执行</w:t>
      </w:r>
      <w:r>
        <w:rPr>
          <w:rFonts w:hint="eastAsia" w:ascii="仿宋_GB2312" w:hAnsi="黑体" w:eastAsia="仿宋_GB2312"/>
          <w:sz w:val="32"/>
          <w:szCs w:val="32"/>
        </w:rPr>
        <w:t>门户网站使用管理、</w:t>
      </w:r>
      <w:r>
        <w:rPr>
          <w:rFonts w:hint="eastAsia" w:ascii="仿宋_GB2312" w:eastAsia="仿宋_GB2312" w:hAnsiTheme="majorEastAsia"/>
          <w:sz w:val="32"/>
          <w:szCs w:val="32"/>
        </w:rPr>
        <w:t>网站日常监测监管等制度要求，加强门户网站建设，充分发挥其</w:t>
      </w:r>
      <w:r>
        <w:rPr>
          <w:rFonts w:hint="eastAsia" w:ascii="仿宋_GB2312" w:hAnsi="黑体" w:eastAsia="仿宋_GB2312"/>
          <w:sz w:val="32"/>
          <w:szCs w:val="32"/>
        </w:rPr>
        <w:t>政务信息发布第一平台、政民互动重要渠道、便民服务重要窗口的权威作用。</w:t>
      </w:r>
    </w:p>
    <w:p w14:paraId="0CA9D537">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hAnsi="黑体" w:eastAsia="仿宋_GB2312"/>
          <w:sz w:val="32"/>
          <w:szCs w:val="32"/>
        </w:rPr>
        <w:t>1.规范门户网站建设。</w:t>
      </w:r>
      <w:r>
        <w:rPr>
          <w:rFonts w:hint="eastAsia" w:ascii="仿宋_GB2312" w:eastAsia="仿宋_GB2312" w:hAnsiTheme="majorEastAsia"/>
          <w:sz w:val="32"/>
          <w:szCs w:val="32"/>
        </w:rPr>
        <w:t>有序推进门户网站规范整合工作，按期完成网站名称和域名规范管理相关工作。</w:t>
      </w:r>
    </w:p>
    <w:p w14:paraId="1ABFF6F4">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加强网站内容建设。以满足旅客需求为出发点，进一步加强对门户网站“民意征集”“在线交流”“制度规范”“政策解读”等网站栏目的建设，“便民服务”专栏新增“地区志愿服务”内容，及时更新服务新举措、新动态。</w:t>
      </w:r>
    </w:p>
    <w:p w14:paraId="72097C27">
      <w:pPr>
        <w:adjustRightInd w:val="0"/>
        <w:snapToGrid w:val="0"/>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3.加强政务“两微一端”维护管理。</w:t>
      </w:r>
      <w:r>
        <w:rPr>
          <w:rFonts w:hint="eastAsia" w:ascii="仿宋_GB2312" w:eastAsia="仿宋_GB2312" w:hAnsiTheme="majorEastAsia"/>
          <w:sz w:val="32"/>
          <w:szCs w:val="32"/>
        </w:rPr>
        <w:t>深化其与门户网站融合互通，重要信息同步同频发布。</w:t>
      </w:r>
      <w:r>
        <w:rPr>
          <w:rFonts w:hint="eastAsia" w:ascii="仿宋_GB2312" w:hAnsi="黑体" w:eastAsia="仿宋_GB2312"/>
          <w:sz w:val="32"/>
          <w:szCs w:val="32"/>
        </w:rPr>
        <w:t>通过数字化、图表化、可视化等形式，提高信息内容的实用性、可读性。</w:t>
      </w:r>
    </w:p>
    <w:p w14:paraId="2987B23E">
      <w:pPr>
        <w:adjustRightInd w:val="0"/>
        <w:snapToGrid w:val="0"/>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4.确保网站安全运行。</w:t>
      </w:r>
      <w:r>
        <w:rPr>
          <w:rFonts w:hint="eastAsia" w:ascii="仿宋_GB2312" w:eastAsia="仿宋_GB2312" w:hAnsiTheme="majorEastAsia"/>
          <w:sz w:val="32"/>
          <w:szCs w:val="32"/>
        </w:rPr>
        <w:t>认真开展季度自查，及时发现和解决政府网站存在的突出问题，自查整改结果进行通报。</w:t>
      </w:r>
      <w:r>
        <w:rPr>
          <w:rFonts w:hint="eastAsia" w:ascii="仿宋_GB2312" w:hAnsi="黑体" w:eastAsia="仿宋_GB2312"/>
          <w:sz w:val="32"/>
          <w:szCs w:val="32"/>
        </w:rPr>
        <w:t>完善网站安全保障，建立安全监测预警和应急处置机制，做好防攻击、防篡改、防病毒等工作</w:t>
      </w:r>
      <w:r>
        <w:rPr>
          <w:rFonts w:hint="eastAsia" w:ascii="仿宋_GB2312" w:eastAsia="仿宋_GB2312" w:hAnsiTheme="majorEastAsia"/>
          <w:sz w:val="32"/>
          <w:szCs w:val="32"/>
        </w:rPr>
        <w:t>，确保门户网站安全。</w:t>
      </w:r>
    </w:p>
    <w:p w14:paraId="602C98A7">
      <w:pPr>
        <w:adjustRightInd w:val="0"/>
        <w:snapToGrid w:val="0"/>
        <w:spacing w:line="540" w:lineRule="exact"/>
        <w:ind w:firstLine="640" w:firstLineChars="200"/>
        <w:rPr>
          <w:rFonts w:ascii="楷体_GB2312" w:eastAsia="楷体_GB2312" w:hAnsiTheme="majorEastAsia"/>
          <w:sz w:val="32"/>
          <w:szCs w:val="32"/>
        </w:rPr>
      </w:pPr>
      <w:r>
        <w:rPr>
          <w:rFonts w:hint="eastAsia" w:ascii="楷体_GB2312" w:eastAsia="楷体_GB2312" w:hAnsiTheme="majorEastAsia"/>
          <w:sz w:val="32"/>
          <w:szCs w:val="32"/>
        </w:rPr>
        <w:t>（四）政府信息公开教育培训情况</w:t>
      </w:r>
    </w:p>
    <w:p w14:paraId="624DE3E6">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为进一步增强西站地区政府信息公开工作的统筹性、针对性、实效性，切实提升政务公开干部队伍业务能力水平，西站地区管委会按照年初工作计划，先后组织召开驻区单位办公室主要负责同志座谈会1次，举办2018年政务工作、政务公开专题培训和政务舆情回应引导专题讲座等3期，共有来自管委会机关、直属单位、地区职能单位、运行保障单位和重点企事业单位等174人次参加座谈、培训。</w:t>
      </w:r>
    </w:p>
    <w:p w14:paraId="20F95274">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培训邀请市政府公开办、市保密局、人民网舆情数据中心等部门有关领导到地区现场教学，围绕政府信息公开发展要求和形势分析、政务公开与依法行政、舆情分析与引导等方面进行深入讲解，通过政策文件解读、典型案例分析、经验体会分享等方式，将理论与实际结合，切实提升了参训人员的政务公开意识和业务能力水平。</w:t>
      </w:r>
    </w:p>
    <w:p w14:paraId="7045D29E">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二、主动公开政府信息的情况</w:t>
      </w:r>
    </w:p>
    <w:p w14:paraId="15D429F0">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2018年，西站地区管委会主动公开政府信息723条，全文电子化率达到100%。主动公开重点领域公开政府信息22条，其中包括主动公开财政预算决算、“三公”经费等信息2条；地区食品药品安全及专项检查整治信息4条；地区环境建设等信息3条；地区安全生产的各项保障政策措施等信息13条。</w:t>
      </w:r>
    </w:p>
    <w:p w14:paraId="42471A53">
      <w:pPr>
        <w:adjustRightInd w:val="0"/>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1.主动开展政策解读。西站地区管委会门户网站设置“政策解读”专栏，及时权威发布重点工作等相关解读信息。组织召开2018年春运、暑运新闻发布会2次，解读、发布相关工作及举措，接受媒体采访。</w:t>
      </w:r>
    </w:p>
    <w:p w14:paraId="6F335362">
      <w:pPr>
        <w:adjustRightInd w:val="0"/>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同时，针对地区重要政策解读，在做好文字解读的基础上，制作多种形式的解读材料，包括政策实施实际效果现场图片、视频解读说明以及地区广播音频等，其中《请让我来帮助您——西站地区出行地铁（交通）篇》2部公益宣传片，网络播放量1.703亿次，赢得旅客广泛赞誉。</w:t>
      </w:r>
    </w:p>
    <w:p w14:paraId="51A70882">
      <w:pPr>
        <w:adjustRightInd w:val="0"/>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积极回应社会关切。建立政务舆情应对相关工作机制，畅通舆情信息收集渠道，明确会商、研判、处置回应及评估等职责要求。通过门户网站、官方微博、微信等渠道积极回应关切112条，主要包括2018年春运、暑运、环境建设、志愿服务、出行导图设置、疏解整治促提升工作等内容。及时通过政务网站以及北京日报、首都之窗、千龙网等媒体，发布《北京西站再添临时落客通道》《西站爱心车队夜送旅客回家》《国庆小长假西站地区出行指南》等报道，回应公众关注的出行问题。</w:t>
      </w:r>
    </w:p>
    <w:p w14:paraId="15F732C8">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三、依申请公开政府信息的情况</w:t>
      </w:r>
    </w:p>
    <w:p w14:paraId="56A04BB1">
      <w:pPr>
        <w:adjustRightInd w:val="0"/>
        <w:snapToGrid w:val="0"/>
        <w:spacing w:line="540" w:lineRule="exact"/>
        <w:ind w:firstLine="640"/>
        <w:rPr>
          <w:rFonts w:ascii="仿宋_GB2312" w:hAnsi="宋体" w:eastAsia="仿宋_GB2312" w:cs="宋体"/>
          <w:kern w:val="0"/>
          <w:sz w:val="32"/>
          <w:szCs w:val="32"/>
        </w:rPr>
      </w:pPr>
      <w:r>
        <w:rPr>
          <w:rFonts w:hint="eastAsia" w:ascii="仿宋_GB2312" w:eastAsia="仿宋_GB2312" w:hAnsiTheme="majorEastAsia"/>
          <w:sz w:val="32"/>
          <w:szCs w:val="32"/>
        </w:rPr>
        <w:t>截止2018年12月，</w:t>
      </w:r>
      <w:r>
        <w:rPr>
          <w:rFonts w:hint="eastAsia" w:ascii="仿宋_GB2312" w:eastAsia="仿宋_GB2312"/>
          <w:sz w:val="32"/>
          <w:szCs w:val="32"/>
        </w:rPr>
        <w:t>西站地区管委会共收到</w:t>
      </w:r>
      <w:r>
        <w:rPr>
          <w:rFonts w:hint="eastAsia" w:ascii="仿宋_GB2312" w:eastAsia="仿宋_GB2312" w:hAnsiTheme="majorEastAsia"/>
          <w:sz w:val="32"/>
          <w:szCs w:val="32"/>
        </w:rPr>
        <w:t>政府信息公开申请</w:t>
      </w:r>
      <w:r>
        <w:rPr>
          <w:rFonts w:hint="eastAsia" w:ascii="仿宋_GB2312" w:eastAsia="仿宋_GB2312"/>
          <w:sz w:val="32"/>
          <w:szCs w:val="32"/>
        </w:rPr>
        <w:t>9件，其中信函申请1件，网络申请8件。</w:t>
      </w:r>
      <w:r>
        <w:rPr>
          <w:rFonts w:hint="eastAsia" w:ascii="仿宋_GB2312" w:eastAsia="仿宋_GB2312" w:hAnsiTheme="majorEastAsia"/>
          <w:sz w:val="32"/>
          <w:szCs w:val="32"/>
        </w:rPr>
        <w:t>其中：有1项</w:t>
      </w:r>
      <w:r>
        <w:rPr>
          <w:rFonts w:hint="eastAsia" w:ascii="仿宋_GB2312" w:hAnsi="宋体" w:eastAsia="仿宋_GB2312" w:cs="宋体"/>
          <w:kern w:val="0"/>
          <w:sz w:val="32"/>
          <w:szCs w:val="32"/>
        </w:rPr>
        <w:t>属于主动公开范围且已答复，并告知申请人获取该信息的方式和途径；有2项同意公开，并答复申请人；有3</w:t>
      </w:r>
      <w:r>
        <w:rPr>
          <w:rFonts w:hint="eastAsia" w:ascii="仿宋_GB2312" w:eastAsia="仿宋_GB2312" w:hAnsiTheme="majorEastAsia"/>
          <w:sz w:val="32"/>
          <w:szCs w:val="32"/>
        </w:rPr>
        <w:t>项</w:t>
      </w:r>
      <w:r>
        <w:rPr>
          <w:rFonts w:hint="eastAsia" w:ascii="仿宋_GB2312" w:hAnsi="宋体" w:eastAsia="仿宋_GB2312" w:cs="宋体"/>
          <w:kern w:val="0"/>
          <w:sz w:val="32"/>
          <w:szCs w:val="32"/>
        </w:rPr>
        <w:t>不属于我委公开内容，并告知申请人申请该信息公开的相应行政机关及联系方式；有3项信息不存在。</w:t>
      </w:r>
    </w:p>
    <w:p w14:paraId="4152A265">
      <w:pPr>
        <w:adjustRightInd w:val="0"/>
        <w:snapToGrid w:val="0"/>
        <w:spacing w:line="540" w:lineRule="exact"/>
        <w:ind w:firstLine="640"/>
        <w:rPr>
          <w:rFonts w:ascii="仿宋_GB2312" w:eastAsia="仿宋_GB2312"/>
          <w:sz w:val="32"/>
          <w:szCs w:val="32"/>
        </w:rPr>
      </w:pPr>
      <w:r>
        <w:rPr>
          <w:rFonts w:hint="eastAsia" w:ascii="仿宋_GB2312" w:hAnsi="宋体" w:eastAsia="仿宋_GB2312" w:cs="宋体"/>
          <w:kern w:val="0"/>
          <w:sz w:val="32"/>
          <w:szCs w:val="32"/>
        </w:rPr>
        <w:t>以上申请均已</w:t>
      </w:r>
      <w:r>
        <w:rPr>
          <w:rFonts w:hint="eastAsia" w:ascii="仿宋_GB2312" w:eastAsia="仿宋_GB2312" w:hAnsiTheme="majorEastAsia"/>
          <w:sz w:val="32"/>
          <w:szCs w:val="32"/>
        </w:rPr>
        <w:t>按照答复程序、时限等规定办结，</w:t>
      </w:r>
      <w:r>
        <w:rPr>
          <w:rFonts w:hint="eastAsia" w:ascii="仿宋_GB2312" w:eastAsia="仿宋_GB2312"/>
          <w:sz w:val="32"/>
          <w:szCs w:val="32"/>
        </w:rPr>
        <w:t>未发现应公开未公开的信息。</w:t>
      </w:r>
    </w:p>
    <w:p w14:paraId="0B23276B">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全年</w:t>
      </w:r>
      <w:r>
        <w:rPr>
          <w:rFonts w:hint="eastAsia" w:ascii="仿宋_GB2312" w:eastAsia="仿宋_GB2312" w:hAnsiTheme="majorEastAsia"/>
          <w:sz w:val="32"/>
          <w:szCs w:val="32"/>
        </w:rPr>
        <w:t>无举报、复议、诉讼相关情况发生。</w:t>
      </w:r>
    </w:p>
    <w:p w14:paraId="7AD0E7BD">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四、存在的不足及改进措施</w:t>
      </w:r>
    </w:p>
    <w:p w14:paraId="11D84FEB">
      <w:pPr>
        <w:adjustRightInd w:val="0"/>
        <w:snapToGrid w:val="0"/>
        <w:spacing w:line="540" w:lineRule="exact"/>
        <w:ind w:firstLine="640" w:firstLineChars="200"/>
        <w:rPr>
          <w:rFonts w:ascii="楷体_GB2312" w:eastAsia="楷体_GB2312" w:hAnsiTheme="majorEastAsia"/>
          <w:sz w:val="32"/>
          <w:szCs w:val="32"/>
        </w:rPr>
      </w:pPr>
      <w:r>
        <w:rPr>
          <w:rFonts w:hint="eastAsia" w:ascii="楷体_GB2312" w:eastAsia="楷体_GB2312" w:hAnsiTheme="majorEastAsia"/>
          <w:sz w:val="32"/>
          <w:szCs w:val="32"/>
        </w:rPr>
        <w:t>（一）存在不足</w:t>
      </w:r>
    </w:p>
    <w:p w14:paraId="16522FE5">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一是政府信息公开渠道平台建设还有提升空间，数据的分析研判、精准服务水平有待加强。</w:t>
      </w:r>
    </w:p>
    <w:p w14:paraId="68F0A1FB">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二是政策文件解读的途径和方式还有待进一步丰富和拓展。</w:t>
      </w:r>
    </w:p>
    <w:p w14:paraId="74281121">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三是门户网站的民意征集、互动交流等功能利用还不够充分。</w:t>
      </w:r>
    </w:p>
    <w:p w14:paraId="20283782">
      <w:pPr>
        <w:adjustRightInd w:val="0"/>
        <w:snapToGrid w:val="0"/>
        <w:spacing w:line="540" w:lineRule="exact"/>
        <w:ind w:firstLine="640" w:firstLineChars="200"/>
        <w:rPr>
          <w:rFonts w:ascii="楷体_GB2312" w:eastAsia="楷体_GB2312" w:hAnsiTheme="majorEastAsia"/>
          <w:sz w:val="32"/>
          <w:szCs w:val="32"/>
        </w:rPr>
      </w:pPr>
      <w:r>
        <w:rPr>
          <w:rFonts w:hint="eastAsia" w:ascii="楷体_GB2312" w:eastAsia="楷体_GB2312" w:hAnsiTheme="majorEastAsia"/>
          <w:sz w:val="32"/>
          <w:szCs w:val="32"/>
        </w:rPr>
        <w:t>（二）改进措施</w:t>
      </w:r>
    </w:p>
    <w:p w14:paraId="39B064F8">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2019年，我们将按照全市政府信息和政务公开工作总体部署，继续深化公开内容，创新服务方式，强化解读回应，全力推进政府信息和政务公开工作取得新突破。</w:t>
      </w:r>
    </w:p>
    <w:p w14:paraId="6B3173D7">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是以公众需求为导向，提升政策解读水平。关注浏览习惯、点击热点、传播特点等因素，进一步探索开发政府信息公开平台功能，丰富公开的内容和形式，综合运用文字、图片、表格、音频、视频等方式，准确传递政策意图，提升公众阅读体验。</w:t>
      </w:r>
    </w:p>
    <w:p w14:paraId="40EA69B8">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二是进一步拓宽政府信息公开的途径。提升“互联网+政务服务”水平，加强与中央、市属媒体互动和沟通，扩大政府信息公开范围，提高公众知晓率。</w:t>
      </w:r>
    </w:p>
    <w:p w14:paraId="0EA6EC42">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三是扩大公众参与和政民互动。加强决策公开，丰富政民互动活动，注重意见建议收集分析，不断增强政府回应社会关切的针对性和有效性。</w:t>
      </w:r>
    </w:p>
    <w:p w14:paraId="3B71F9DC">
      <w:pPr>
        <w:adjustRightInd w:val="0"/>
        <w:snapToGrid w:val="0"/>
        <w:spacing w:line="540" w:lineRule="exact"/>
        <w:rPr>
          <w:rFonts w:ascii="仿宋_GB2312" w:eastAsia="仿宋_GB2312" w:hAnsiTheme="majorEastAsia"/>
          <w:sz w:val="32"/>
          <w:szCs w:val="32"/>
        </w:rPr>
      </w:pPr>
    </w:p>
    <w:p w14:paraId="59B10EF5">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附件：《北京西站地区管理委员会政府信息公开情况统计表（2018年度）》</w:t>
      </w:r>
    </w:p>
    <w:p w14:paraId="4A069925">
      <w:pPr>
        <w:adjustRightInd w:val="0"/>
        <w:snapToGrid w:val="0"/>
        <w:spacing w:line="540" w:lineRule="exact"/>
        <w:ind w:firstLine="4640" w:firstLineChars="1450"/>
        <w:rPr>
          <w:rFonts w:ascii="仿宋_GB2312" w:eastAsia="仿宋_GB2312" w:hAnsiTheme="majorEastAsia"/>
          <w:sz w:val="32"/>
          <w:szCs w:val="32"/>
        </w:rPr>
      </w:pPr>
    </w:p>
    <w:p w14:paraId="6779655B">
      <w:pPr>
        <w:adjustRightInd w:val="0"/>
        <w:snapToGrid w:val="0"/>
        <w:spacing w:line="540" w:lineRule="exact"/>
        <w:ind w:firstLine="4640" w:firstLineChars="1450"/>
        <w:rPr>
          <w:rFonts w:ascii="仿宋_GB2312" w:eastAsia="仿宋_GB2312" w:hAnsiTheme="majorEastAsia"/>
          <w:sz w:val="32"/>
          <w:szCs w:val="32"/>
        </w:rPr>
      </w:pPr>
    </w:p>
    <w:p w14:paraId="15A8A491">
      <w:pPr>
        <w:adjustRightInd w:val="0"/>
        <w:snapToGrid w:val="0"/>
        <w:spacing w:line="540" w:lineRule="exact"/>
        <w:ind w:firstLine="4640" w:firstLineChars="1450"/>
        <w:rPr>
          <w:rFonts w:ascii="仿宋_GB2312" w:eastAsia="仿宋_GB2312" w:hAnsiTheme="majorEastAsia"/>
          <w:sz w:val="32"/>
          <w:szCs w:val="32"/>
        </w:rPr>
      </w:pPr>
    </w:p>
    <w:p w14:paraId="6A9EC746">
      <w:pPr>
        <w:adjustRightInd w:val="0"/>
        <w:snapToGrid w:val="0"/>
        <w:spacing w:line="540" w:lineRule="exact"/>
        <w:ind w:firstLine="4640" w:firstLineChars="1450"/>
        <w:rPr>
          <w:rFonts w:ascii="仿宋_GB2312" w:eastAsia="仿宋_GB2312" w:hAnsiTheme="majorEastAsia"/>
          <w:sz w:val="32"/>
          <w:szCs w:val="32"/>
        </w:rPr>
      </w:pPr>
      <w:r>
        <w:rPr>
          <w:rFonts w:hint="eastAsia" w:ascii="仿宋_GB2312" w:eastAsia="仿宋_GB2312" w:hAnsiTheme="majorEastAsia"/>
          <w:sz w:val="32"/>
          <w:szCs w:val="32"/>
        </w:rPr>
        <w:t>北京西站地区管理委员会</w:t>
      </w:r>
    </w:p>
    <w:p w14:paraId="1A0F93AD">
      <w:pPr>
        <w:adjustRightInd w:val="0"/>
        <w:snapToGrid w:val="0"/>
        <w:spacing w:line="54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                               2019年3月 </w:t>
      </w:r>
    </w:p>
    <w:p w14:paraId="46C71F24">
      <w:pPr>
        <w:adjustRightInd w:val="0"/>
        <w:snapToGrid w:val="0"/>
        <w:spacing w:line="560" w:lineRule="exact"/>
        <w:ind w:firstLine="640" w:firstLineChars="200"/>
        <w:jc w:val="left"/>
        <w:rPr>
          <w:rFonts w:ascii="仿宋_GB2312" w:eastAsia="仿宋_GB2312" w:hAnsiTheme="majorEastAsia"/>
          <w:sz w:val="32"/>
          <w:szCs w:val="32"/>
        </w:rPr>
      </w:pPr>
    </w:p>
    <w:p w14:paraId="78CA7640">
      <w:pPr>
        <w:adjustRightInd w:val="0"/>
        <w:snapToGrid w:val="0"/>
        <w:spacing w:line="560" w:lineRule="exact"/>
        <w:ind w:firstLine="640" w:firstLineChars="200"/>
        <w:jc w:val="left"/>
        <w:rPr>
          <w:rFonts w:ascii="仿宋_GB2312" w:eastAsia="仿宋_GB2312" w:hAnsiTheme="majorEastAsia"/>
          <w:sz w:val="32"/>
          <w:szCs w:val="32"/>
        </w:rPr>
      </w:pPr>
    </w:p>
    <w:p w14:paraId="361EA9FE">
      <w:pPr>
        <w:adjustRightInd w:val="0"/>
        <w:snapToGrid w:val="0"/>
        <w:spacing w:line="560" w:lineRule="exact"/>
        <w:ind w:firstLine="640" w:firstLineChars="200"/>
        <w:jc w:val="left"/>
        <w:rPr>
          <w:rFonts w:ascii="仿宋_GB2312" w:eastAsia="仿宋_GB2312" w:hAnsiTheme="majorEastAsia"/>
          <w:sz w:val="32"/>
          <w:szCs w:val="32"/>
        </w:rPr>
      </w:pPr>
    </w:p>
    <w:p w14:paraId="040FD246">
      <w:pPr>
        <w:adjustRightInd w:val="0"/>
        <w:snapToGrid w:val="0"/>
        <w:spacing w:line="560" w:lineRule="exact"/>
        <w:jc w:val="left"/>
        <w:rPr>
          <w:rFonts w:ascii="仿宋_GB2312" w:eastAsia="仿宋_GB2312" w:hAnsiTheme="majorEastAsia"/>
          <w:sz w:val="32"/>
          <w:szCs w:val="32"/>
        </w:rPr>
      </w:pPr>
    </w:p>
    <w:tbl>
      <w:tblPr>
        <w:tblStyle w:val="6"/>
        <w:tblW w:w="9555" w:type="dxa"/>
        <w:jc w:val="center"/>
        <w:tblLayout w:type="autofit"/>
        <w:tblCellMar>
          <w:top w:w="0" w:type="dxa"/>
          <w:left w:w="108" w:type="dxa"/>
          <w:bottom w:w="0" w:type="dxa"/>
          <w:right w:w="108" w:type="dxa"/>
        </w:tblCellMar>
      </w:tblPr>
      <w:tblGrid>
        <w:gridCol w:w="7755"/>
        <w:gridCol w:w="720"/>
        <w:gridCol w:w="1080"/>
      </w:tblGrid>
      <w:tr w14:paraId="1023D194">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6D33A58A">
            <w:pPr>
              <w:widowControl/>
              <w:jc w:val="left"/>
              <w:rPr>
                <w:rFonts w:ascii="仿宋_GB2312" w:hAnsi="宋体" w:eastAsia="仿宋_GB2312" w:cs="宋体"/>
                <w:color w:val="000000"/>
                <w:kern w:val="0"/>
                <w:sz w:val="32"/>
                <w:szCs w:val="32"/>
              </w:rPr>
            </w:pPr>
            <w:bookmarkStart w:id="2" w:name="OLE_LINK1"/>
            <w:r>
              <w:rPr>
                <w:rFonts w:hint="eastAsia" w:ascii="仿宋_GB2312" w:hAnsi="宋体" w:eastAsia="仿宋_GB2312" w:cs="宋体"/>
                <w:color w:val="000000"/>
                <w:kern w:val="0"/>
                <w:sz w:val="32"/>
                <w:szCs w:val="32"/>
              </w:rPr>
              <w:t>附件</w:t>
            </w:r>
          </w:p>
          <w:p w14:paraId="3725E781">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59F61910">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3901FEC0">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1973C92B">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noWrap/>
            <w:vAlign w:val="center"/>
          </w:tcPr>
          <w:p w14:paraId="4DE72F92">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shd w:val="clear" w:color="FFFFFF" w:fill="auto"/>
            <w:noWrap/>
            <w:vAlign w:val="center"/>
          </w:tcPr>
          <w:p w14:paraId="407483D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58FED56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541E35F6">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0210FD2">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44B6C137">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3D6C33B">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2FC6502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1DAC7D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6896E15B">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1F33FE47">
            <w:pPr>
              <w:widowControl/>
              <w:jc w:val="center"/>
              <w:rPr>
                <w:rFonts w:ascii="宋体" w:hAnsi="宋体" w:cs="宋体"/>
                <w:color w:val="000000"/>
                <w:kern w:val="0"/>
                <w:sz w:val="24"/>
              </w:rPr>
            </w:pPr>
          </w:p>
        </w:tc>
      </w:tr>
      <w:tr w14:paraId="76005FE3">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54D783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5984827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6B344B">
            <w:pPr>
              <w:widowControl/>
              <w:jc w:val="center"/>
              <w:rPr>
                <w:rFonts w:ascii="仿宋_GB2312" w:hAnsi="宋体" w:eastAsia="仿宋_GB2312" w:cs="宋体"/>
                <w:kern w:val="0"/>
                <w:sz w:val="24"/>
              </w:rPr>
            </w:pPr>
            <w:r>
              <w:rPr>
                <w:rFonts w:hint="eastAsia" w:ascii="仿宋_GB2312" w:hAnsi="宋体" w:eastAsia="仿宋_GB2312" w:cs="宋体"/>
                <w:kern w:val="0"/>
                <w:sz w:val="24"/>
              </w:rPr>
              <w:t>723</w:t>
            </w:r>
          </w:p>
        </w:tc>
      </w:tr>
      <w:tr w14:paraId="0F017FE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97839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3E200E5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15C4D1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0F513E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51C1DAF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1F4379E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2B00D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3372C55">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66FC2A0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73CFE55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C997192">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r>
      <w:tr w14:paraId="512C507D">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4DE8941">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5AAD60B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B8DE336">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1B466D8F">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8214DB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0A837BA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BEC9A8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47084DB">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30F485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0F0405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442731C">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52DD3A03">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C65BA7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E759A8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329D52C">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58C986BE">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71C7E5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2CE776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369739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131FE78">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3DB130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E6ED2E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DAABE7E">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r>
      <w:tr w14:paraId="6CEF5B9C">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A3BC23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58A2C8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2FCD8F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43CAB3E">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358BF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867FFC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58F5B3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78B12F1">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97FD00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00EDC14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578DEB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EB6090D">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F8C66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03E236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D3BA27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96203C4">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799BB8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2F497D5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3001ED3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7121AFE">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21929E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5CAF936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7900628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9D3F1A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733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49676C33">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7AE15385">
            <w:pPr>
              <w:widowControl/>
              <w:jc w:val="center"/>
              <w:rPr>
                <w:rFonts w:ascii="仿宋_GB2312" w:hAnsi="宋体" w:eastAsia="仿宋_GB2312" w:cs="宋体"/>
                <w:kern w:val="0"/>
                <w:sz w:val="24"/>
              </w:rPr>
            </w:pPr>
          </w:p>
        </w:tc>
      </w:tr>
      <w:tr w14:paraId="105D271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748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0DC241B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9BC2CC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2A2C32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2C9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FF4463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3312951">
            <w:pPr>
              <w:widowControl/>
              <w:jc w:val="center"/>
              <w:rPr>
                <w:rFonts w:ascii="仿宋_GB2312" w:hAnsi="宋体" w:eastAsia="仿宋_GB2312" w:cs="宋体"/>
                <w:kern w:val="0"/>
                <w:sz w:val="24"/>
              </w:rPr>
            </w:pPr>
            <w:r>
              <w:rPr>
                <w:rFonts w:hint="eastAsia" w:ascii="仿宋_GB2312" w:hAnsi="宋体" w:eastAsia="仿宋_GB2312" w:cs="宋体"/>
                <w:kern w:val="0"/>
                <w:sz w:val="24"/>
              </w:rPr>
              <w:t>582</w:t>
            </w:r>
          </w:p>
        </w:tc>
      </w:tr>
      <w:tr w14:paraId="3DC3E85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4047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0348EDF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C954849">
            <w:pPr>
              <w:widowControl/>
              <w:jc w:val="center"/>
              <w:rPr>
                <w:rFonts w:ascii="仿宋_GB2312" w:hAnsi="宋体" w:eastAsia="仿宋_GB2312" w:cs="宋体"/>
                <w:kern w:val="0"/>
                <w:sz w:val="24"/>
              </w:rPr>
            </w:pPr>
            <w:r>
              <w:rPr>
                <w:rFonts w:hint="eastAsia" w:ascii="仿宋_GB2312" w:hAnsi="宋体" w:eastAsia="仿宋_GB2312" w:cs="宋体"/>
                <w:kern w:val="0"/>
                <w:sz w:val="24"/>
              </w:rPr>
              <w:t>125</w:t>
            </w:r>
          </w:p>
        </w:tc>
      </w:tr>
      <w:tr w14:paraId="7F1748E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B81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01B70C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0FA10C0">
            <w:pPr>
              <w:widowControl/>
              <w:jc w:val="center"/>
              <w:rPr>
                <w:rFonts w:ascii="仿宋_GB2312" w:hAnsi="宋体" w:eastAsia="仿宋_GB2312" w:cs="宋体"/>
                <w:kern w:val="0"/>
                <w:sz w:val="24"/>
              </w:rPr>
            </w:pPr>
            <w:r>
              <w:rPr>
                <w:rFonts w:hint="eastAsia" w:ascii="仿宋_GB2312" w:hAnsi="宋体" w:eastAsia="仿宋_GB2312" w:cs="宋体"/>
                <w:kern w:val="0"/>
                <w:sz w:val="24"/>
              </w:rPr>
              <w:t>288</w:t>
            </w:r>
          </w:p>
        </w:tc>
      </w:tr>
      <w:tr w14:paraId="347D3AF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99B7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C3A764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E98E55D">
            <w:pPr>
              <w:widowControl/>
              <w:jc w:val="center"/>
              <w:rPr>
                <w:rFonts w:ascii="仿宋_GB2312" w:hAnsi="宋体" w:eastAsia="仿宋_GB2312" w:cs="宋体"/>
                <w:kern w:val="0"/>
                <w:sz w:val="24"/>
              </w:rPr>
            </w:pPr>
            <w:r>
              <w:rPr>
                <w:rFonts w:hint="eastAsia" w:ascii="仿宋_GB2312" w:hAnsi="宋体" w:eastAsia="仿宋_GB2312" w:cs="宋体"/>
                <w:kern w:val="0"/>
                <w:sz w:val="24"/>
              </w:rPr>
              <w:t>78</w:t>
            </w:r>
          </w:p>
        </w:tc>
      </w:tr>
      <w:tr w14:paraId="491E2CF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6204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0D8B4C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5DE05C2">
            <w:pPr>
              <w:widowControl/>
              <w:jc w:val="center"/>
              <w:rPr>
                <w:rFonts w:ascii="宋体" w:hAnsi="宋体" w:cs="宋体"/>
                <w:color w:val="000000"/>
                <w:kern w:val="0"/>
                <w:sz w:val="24"/>
              </w:rPr>
            </w:pPr>
          </w:p>
        </w:tc>
      </w:tr>
      <w:tr w14:paraId="5BD391A4">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1407D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348D86F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171C14A">
            <w:pPr>
              <w:widowControl/>
              <w:jc w:val="center"/>
              <w:rPr>
                <w:rFonts w:ascii="仿宋_GB2312" w:hAnsi="宋体" w:eastAsia="仿宋_GB2312" w:cs="宋体"/>
                <w:kern w:val="0"/>
                <w:sz w:val="24"/>
              </w:rPr>
            </w:pPr>
            <w:r>
              <w:rPr>
                <w:rFonts w:hint="eastAsia" w:ascii="仿宋_GB2312" w:hAnsi="宋体" w:eastAsia="仿宋_GB2312" w:cs="宋体"/>
                <w:kern w:val="0"/>
                <w:sz w:val="24"/>
              </w:rPr>
              <w:t>112</w:t>
            </w:r>
          </w:p>
        </w:tc>
      </w:tr>
      <w:tr w14:paraId="66C92FFF">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9CD64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12A177B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5B73847">
            <w:pPr>
              <w:widowControl/>
              <w:jc w:val="center"/>
              <w:rPr>
                <w:rFonts w:ascii="仿宋_GB2312" w:hAnsi="宋体" w:eastAsia="仿宋_GB2312" w:cs="宋体"/>
                <w:kern w:val="0"/>
                <w:sz w:val="24"/>
              </w:rPr>
            </w:pPr>
          </w:p>
        </w:tc>
      </w:tr>
      <w:tr w14:paraId="7134297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B20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7205D64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A9BD3A8">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510F239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E55C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39FC629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7801096">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1D050F5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6D8663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3098553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BE41C8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51F803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E9C263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5F5E5C0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2DAA9B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7CC5A9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143B6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091B4F63">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6ED2642E">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32D2689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1395C4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4856DFD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E5ACE0F">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r>
      <w:tr w14:paraId="58592F2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8479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45D6F34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04BE097">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r>
      <w:tr w14:paraId="13A7803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88584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F1DF80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C2958A4">
            <w:pPr>
              <w:widowControl/>
              <w:jc w:val="center"/>
              <w:rPr>
                <w:rFonts w:ascii="宋体" w:hAnsi="宋体" w:cs="宋体"/>
                <w:color w:val="000000"/>
                <w:kern w:val="0"/>
                <w:sz w:val="24"/>
              </w:rPr>
            </w:pPr>
          </w:p>
        </w:tc>
      </w:tr>
      <w:tr w14:paraId="0A1E7FB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30C43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70129DF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B233BB4">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101B110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6DC8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4710173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E4D7C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6371D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7635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2328B23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FA452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96A177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AC2B5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055694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F114D5E">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14:paraId="72A079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48853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2ECE5D8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36B37E0">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8B4247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CF31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331948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1B21EEA">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6A7DAF3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CD0133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118A0F0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0EE4F6">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14:paraId="5710DD8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927507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0564EF5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9F5E21E">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146831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BB1AA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7C2743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34C9A88">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30CCE88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78C2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0BC64EA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09A8474">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3B8C36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211CC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36DF17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4774D7C">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5E98668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D298A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24F9172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9EC0C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062E16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E11B0B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631A4C5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134A32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7710E6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46AED92">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20D6124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8578BD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B0239F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06EDCF4">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359405A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042EE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32AD62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1525B">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078F5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91F8AB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7113D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FC4372E">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7094D13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F39BB6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9556DD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FC6152">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361BF90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CF35C3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88AC71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6E9ACAC">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49DC36C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B5282C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2FA17E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DDA6C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45FBA01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C3007C">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034DFBE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FD8C50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1135965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1E76211">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131AECF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371C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7E03814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1ECED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CF5CFD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94638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677A4D2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2AA7C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27C2C6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1E4DD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669318F6">
            <w:pPr>
              <w:widowControl/>
              <w:jc w:val="center"/>
              <w:rPr>
                <w:rFonts w:ascii="宋体" w:hAnsi="宋体" w:cs="宋体"/>
                <w:color w:val="000000"/>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F79141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14:paraId="39317CF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4A6229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727C446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171D47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89F464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B359F6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76BA3A7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9CE38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C7CDD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C6EE7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5861A6B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63CFBD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B73E4F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1569A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10977F0E">
            <w:pPr>
              <w:widowControl/>
              <w:jc w:val="center"/>
              <w:rPr>
                <w:rFonts w:ascii="宋体" w:hAnsi="宋体" w:cs="宋体"/>
                <w:color w:val="000000"/>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87A1C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14:paraId="7AA969D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F8EF07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5FB3762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65E40A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33DE0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3C15CB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6B808EE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2690F8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956395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CCB6B2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05EC009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75FA7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7F270F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2938FC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1B993855">
            <w:pPr>
              <w:widowControl/>
              <w:jc w:val="center"/>
              <w:rPr>
                <w:rFonts w:ascii="宋体" w:hAnsi="宋体" w:cs="宋体"/>
                <w:color w:val="000000"/>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413A36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14:paraId="44763C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E861BB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402730E8">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5F119D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14:paraId="0A2459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2FE213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3809A1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2817ED49">
            <w:pPr>
              <w:widowControl/>
              <w:jc w:val="center"/>
              <w:rPr>
                <w:rFonts w:ascii="宋体" w:hAnsi="宋体" w:cs="宋体"/>
                <w:color w:val="000000"/>
                <w:kern w:val="0"/>
                <w:sz w:val="24"/>
              </w:rPr>
            </w:pPr>
          </w:p>
        </w:tc>
      </w:tr>
      <w:tr w14:paraId="2C98CA7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010F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1F5B9A06">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147E441A">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4BD1CA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945CC6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07A24CD1">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68C5B75F">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056792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D3A41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6E083BF2">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41F8366B">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120F957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4C18BE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7428AE60">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5F6A9A11">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1400236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FE78C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2B7D93F9">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728331F">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36053C40">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8BD739B">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38CEFD91">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753325F9">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7EDA013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A3C68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0EB9875">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3622F0FD">
            <w:pPr>
              <w:widowControl/>
              <w:jc w:val="center"/>
              <w:rPr>
                <w:rFonts w:ascii="宋体" w:hAnsi="宋体" w:cs="宋体"/>
                <w:color w:val="000000"/>
                <w:kern w:val="0"/>
                <w:sz w:val="24"/>
              </w:rPr>
            </w:pPr>
          </w:p>
        </w:tc>
      </w:tr>
      <w:tr w14:paraId="3CE7EF3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F296E4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68D0184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AFB7BC7">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60BFBC1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7F4946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7FD8928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2B2A0B2">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3DC7795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0FFBFA8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7E756F75">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37A555D2">
            <w:pPr>
              <w:widowControl/>
              <w:jc w:val="center"/>
              <w:rPr>
                <w:rFonts w:ascii="仿宋_GB2312" w:hAnsi="宋体" w:eastAsia="仿宋_GB2312" w:cs="宋体"/>
                <w:kern w:val="0"/>
                <w:sz w:val="24"/>
              </w:rPr>
            </w:pPr>
            <w:r>
              <w:rPr>
                <w:rFonts w:hint="eastAsia" w:ascii="仿宋_GB2312" w:hAnsi="宋体" w:eastAsia="仿宋_GB2312" w:cs="宋体"/>
                <w:kern w:val="0"/>
                <w:sz w:val="24"/>
              </w:rPr>
              <w:t>174</w:t>
            </w:r>
          </w:p>
        </w:tc>
      </w:tr>
      <w:bookmarkEnd w:id="0"/>
      <w:bookmarkEnd w:id="1"/>
      <w:bookmarkEnd w:id="2"/>
    </w:tbl>
    <w:p w14:paraId="61527B36"/>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292D8-51C0-4948-94B8-D90DABAD8C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F76005-6F37-4440-8FC2-7F2E1C0275B5}"/>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3" w:fontKey="{8C4BDC0B-D785-4411-B805-A4A8FD4382F6}"/>
  </w:font>
  <w:font w:name="仿宋_GB2312">
    <w:panose1 w:val="02010609030101010101"/>
    <w:charset w:val="86"/>
    <w:family w:val="modern"/>
    <w:pitch w:val="default"/>
    <w:sig w:usb0="00000001" w:usb1="080E0000" w:usb2="00000000" w:usb3="00000000" w:csb0="00040000" w:csb1="00000000"/>
    <w:embedRegular r:id="rId4" w:fontKey="{35E61C80-776D-4ADD-A48F-AED2BF498157}"/>
  </w:font>
  <w:font w:name="仿宋">
    <w:panose1 w:val="02010609060101010101"/>
    <w:charset w:val="86"/>
    <w:family w:val="modern"/>
    <w:pitch w:val="default"/>
    <w:sig w:usb0="800002BF" w:usb1="38CF7CFA" w:usb2="00000016" w:usb3="00000000" w:csb0="00040001" w:csb1="00000000"/>
    <w:embedRegular r:id="rId5" w:fontKey="{00D80B39-D6C0-43CE-9F16-61F154CE0D9C}"/>
  </w:font>
  <w:font w:name="楷体_GB2312">
    <w:altName w:val="楷体"/>
    <w:panose1 w:val="02010609030101010101"/>
    <w:charset w:val="86"/>
    <w:family w:val="modern"/>
    <w:pitch w:val="default"/>
    <w:sig w:usb0="00000000" w:usb1="00000000" w:usb2="00000010" w:usb3="00000000" w:csb0="00040000" w:csb1="00000000"/>
    <w:embedRegular r:id="rId6" w:fontKey="{49D9A69D-B9AB-47B5-AC6B-2FFA30FF2044}"/>
  </w:font>
  <w:font w:name="楷体">
    <w:panose1 w:val="02010609060101010101"/>
    <w:charset w:val="86"/>
    <w:family w:val="modern"/>
    <w:pitch w:val="default"/>
    <w:sig w:usb0="800002BF" w:usb1="38CF7CFA" w:usb2="00000016" w:usb3="00000000" w:csb0="00040001" w:csb1="00000000"/>
    <w:embedRegular r:id="rId7" w:fontKey="{C4459531-979B-4717-8F12-B754B327C4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6157"/>
      <w:docPartObj>
        <w:docPartGallery w:val="autotext"/>
      </w:docPartObj>
    </w:sdtPr>
    <w:sdtContent>
      <w:p w14:paraId="18F63F04">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13D5A90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E00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14F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9B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962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DC9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33B7"/>
    <w:rsid w:val="00001AD3"/>
    <w:rsid w:val="00027C41"/>
    <w:rsid w:val="00051117"/>
    <w:rsid w:val="000603AC"/>
    <w:rsid w:val="000A4C2C"/>
    <w:rsid w:val="000B1313"/>
    <w:rsid w:val="000F355F"/>
    <w:rsid w:val="000F576F"/>
    <w:rsid w:val="0010183C"/>
    <w:rsid w:val="00104A5D"/>
    <w:rsid w:val="0011105E"/>
    <w:rsid w:val="00137667"/>
    <w:rsid w:val="00143ABF"/>
    <w:rsid w:val="00151643"/>
    <w:rsid w:val="001532EB"/>
    <w:rsid w:val="00155ECD"/>
    <w:rsid w:val="00161602"/>
    <w:rsid w:val="00194AA8"/>
    <w:rsid w:val="001A7012"/>
    <w:rsid w:val="001D4225"/>
    <w:rsid w:val="001D69C0"/>
    <w:rsid w:val="001E1D01"/>
    <w:rsid w:val="00214066"/>
    <w:rsid w:val="00242741"/>
    <w:rsid w:val="00264C48"/>
    <w:rsid w:val="00267FC6"/>
    <w:rsid w:val="0027520A"/>
    <w:rsid w:val="002764F4"/>
    <w:rsid w:val="00283177"/>
    <w:rsid w:val="002E34E5"/>
    <w:rsid w:val="00337F8C"/>
    <w:rsid w:val="00356F78"/>
    <w:rsid w:val="00370088"/>
    <w:rsid w:val="0037068A"/>
    <w:rsid w:val="0037654E"/>
    <w:rsid w:val="003A444D"/>
    <w:rsid w:val="003B0D05"/>
    <w:rsid w:val="003E3034"/>
    <w:rsid w:val="003E46DC"/>
    <w:rsid w:val="00415212"/>
    <w:rsid w:val="00432475"/>
    <w:rsid w:val="004423D6"/>
    <w:rsid w:val="0044512C"/>
    <w:rsid w:val="004A090E"/>
    <w:rsid w:val="004C0F33"/>
    <w:rsid w:val="004E43AC"/>
    <w:rsid w:val="004F28FF"/>
    <w:rsid w:val="005033C7"/>
    <w:rsid w:val="00510541"/>
    <w:rsid w:val="005411F5"/>
    <w:rsid w:val="0058112E"/>
    <w:rsid w:val="00582240"/>
    <w:rsid w:val="00586512"/>
    <w:rsid w:val="005A0CE0"/>
    <w:rsid w:val="005B3E66"/>
    <w:rsid w:val="005C7608"/>
    <w:rsid w:val="005D0909"/>
    <w:rsid w:val="0061483C"/>
    <w:rsid w:val="0061634C"/>
    <w:rsid w:val="00616939"/>
    <w:rsid w:val="00653580"/>
    <w:rsid w:val="006628A1"/>
    <w:rsid w:val="006A044A"/>
    <w:rsid w:val="006A1C5E"/>
    <w:rsid w:val="006B30F0"/>
    <w:rsid w:val="006C160A"/>
    <w:rsid w:val="006E3A98"/>
    <w:rsid w:val="006E6C40"/>
    <w:rsid w:val="006F2C83"/>
    <w:rsid w:val="0071263E"/>
    <w:rsid w:val="0072320E"/>
    <w:rsid w:val="0072523F"/>
    <w:rsid w:val="00733934"/>
    <w:rsid w:val="00740DA5"/>
    <w:rsid w:val="007434C2"/>
    <w:rsid w:val="00753E40"/>
    <w:rsid w:val="00785FEE"/>
    <w:rsid w:val="007860F2"/>
    <w:rsid w:val="007A2916"/>
    <w:rsid w:val="007C172D"/>
    <w:rsid w:val="007D328E"/>
    <w:rsid w:val="007E01CA"/>
    <w:rsid w:val="007E7A2E"/>
    <w:rsid w:val="00825391"/>
    <w:rsid w:val="00840541"/>
    <w:rsid w:val="008569A9"/>
    <w:rsid w:val="00856C28"/>
    <w:rsid w:val="008957BF"/>
    <w:rsid w:val="00897715"/>
    <w:rsid w:val="008A4AF7"/>
    <w:rsid w:val="008B42FE"/>
    <w:rsid w:val="008D40A7"/>
    <w:rsid w:val="008E0B99"/>
    <w:rsid w:val="008F21B2"/>
    <w:rsid w:val="008F5E0A"/>
    <w:rsid w:val="008F75A2"/>
    <w:rsid w:val="00903DC8"/>
    <w:rsid w:val="00905829"/>
    <w:rsid w:val="00911741"/>
    <w:rsid w:val="0091263D"/>
    <w:rsid w:val="0092709E"/>
    <w:rsid w:val="00931FE5"/>
    <w:rsid w:val="00945EBC"/>
    <w:rsid w:val="00953182"/>
    <w:rsid w:val="009544B1"/>
    <w:rsid w:val="0096405F"/>
    <w:rsid w:val="00970C20"/>
    <w:rsid w:val="009943A1"/>
    <w:rsid w:val="00995454"/>
    <w:rsid w:val="009A5B25"/>
    <w:rsid w:val="009A6040"/>
    <w:rsid w:val="009D2269"/>
    <w:rsid w:val="009E5F61"/>
    <w:rsid w:val="00A00102"/>
    <w:rsid w:val="00A25461"/>
    <w:rsid w:val="00A31B10"/>
    <w:rsid w:val="00A31E78"/>
    <w:rsid w:val="00A52B8A"/>
    <w:rsid w:val="00A820D9"/>
    <w:rsid w:val="00A933B7"/>
    <w:rsid w:val="00AC279D"/>
    <w:rsid w:val="00AD6669"/>
    <w:rsid w:val="00AE0694"/>
    <w:rsid w:val="00AE2E57"/>
    <w:rsid w:val="00AE4C9E"/>
    <w:rsid w:val="00AF0944"/>
    <w:rsid w:val="00B021B3"/>
    <w:rsid w:val="00B02CDB"/>
    <w:rsid w:val="00B11BA4"/>
    <w:rsid w:val="00B16D51"/>
    <w:rsid w:val="00B34D84"/>
    <w:rsid w:val="00B40802"/>
    <w:rsid w:val="00B419F6"/>
    <w:rsid w:val="00B469A2"/>
    <w:rsid w:val="00B607D9"/>
    <w:rsid w:val="00B70CAD"/>
    <w:rsid w:val="00B72C49"/>
    <w:rsid w:val="00B857DE"/>
    <w:rsid w:val="00BB2C9F"/>
    <w:rsid w:val="00BB6520"/>
    <w:rsid w:val="00BC4A31"/>
    <w:rsid w:val="00BD33DE"/>
    <w:rsid w:val="00BE4659"/>
    <w:rsid w:val="00C0590F"/>
    <w:rsid w:val="00C10F6A"/>
    <w:rsid w:val="00C24634"/>
    <w:rsid w:val="00C26B4E"/>
    <w:rsid w:val="00C43269"/>
    <w:rsid w:val="00C520C7"/>
    <w:rsid w:val="00C66837"/>
    <w:rsid w:val="00CA30C8"/>
    <w:rsid w:val="00CA7378"/>
    <w:rsid w:val="00CE28DD"/>
    <w:rsid w:val="00CF2A87"/>
    <w:rsid w:val="00D30B07"/>
    <w:rsid w:val="00D4342C"/>
    <w:rsid w:val="00D506C6"/>
    <w:rsid w:val="00D51644"/>
    <w:rsid w:val="00D553A7"/>
    <w:rsid w:val="00D94567"/>
    <w:rsid w:val="00DA6E2F"/>
    <w:rsid w:val="00DB11D2"/>
    <w:rsid w:val="00E3704D"/>
    <w:rsid w:val="00E468CC"/>
    <w:rsid w:val="00E52D1F"/>
    <w:rsid w:val="00E53715"/>
    <w:rsid w:val="00E560DB"/>
    <w:rsid w:val="00E638C9"/>
    <w:rsid w:val="00E63D44"/>
    <w:rsid w:val="00E729A0"/>
    <w:rsid w:val="00E72C3A"/>
    <w:rsid w:val="00E81E4A"/>
    <w:rsid w:val="00E87073"/>
    <w:rsid w:val="00EA699A"/>
    <w:rsid w:val="00EB1222"/>
    <w:rsid w:val="00EB2185"/>
    <w:rsid w:val="00EB3CF6"/>
    <w:rsid w:val="00F6124E"/>
    <w:rsid w:val="00FB08D1"/>
    <w:rsid w:val="00FB1DD8"/>
    <w:rsid w:val="00FC7E79"/>
    <w:rsid w:val="1DCB7570"/>
    <w:rsid w:val="7FA6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1"/>
    <w:basedOn w:val="1"/>
    <w:uiPriority w:val="0"/>
    <w:pPr>
      <w:widowControl/>
      <w:spacing w:after="160" w:line="240" w:lineRule="exact"/>
      <w:jc w:val="left"/>
    </w:pPr>
    <w:rPr>
      <w:rFonts w:ascii="Times New Roman" w:hAnsi="Times New Roman" w:eastAsia="宋体" w:cs="Times New Roman"/>
      <w:szCs w:val="20"/>
    </w:rPr>
  </w:style>
  <w:style w:type="character" w:customStyle="1" w:styleId="11">
    <w:name w:val="页眉 Char"/>
    <w:basedOn w:val="7"/>
    <w:link w:val="4"/>
    <w:semiHidden/>
    <w:uiPriority w:val="99"/>
    <w:rPr>
      <w:sz w:val="18"/>
      <w:szCs w:val="18"/>
    </w:rPr>
  </w:style>
  <w:style w:type="paragraph" w:customStyle="1" w:styleId="1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5624</Words>
  <Characters>5851</Characters>
  <Lines>291</Lines>
  <Paragraphs>325</Paragraphs>
  <TotalTime>1</TotalTime>
  <ScaleCrop>false</ScaleCrop>
  <LinksUpToDate>false</LinksUpToDate>
  <CharactersWithSpaces>6280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2019-03-12T09:56:00Z</dcterms:created>
  <dc:creator>lcc</dc:creator>
  <cp:lastModifiedBy>WPS_1646027095</cp:lastModifiedBy>
  <cp:lastPrinted>2019-02-20T08:52:00Z</cp:lastPrinted>
  <dcterms:modified xsi:type="dcterms:W3CDTF">2025-05-09T09:24:55Z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eyJoZGlkIjoiYzE4MGFkYTkwNjZjODA3YTU3OGUyNDFjZDZiMjMyMWMiLCJ1c2VySWQiOiIxMzM2OTI0Mzc5In0=</vt:lpwstr>
  </property>
  <property fmtid="{D5CDD505-2E9C-101B-9397-08002B2CF9AE}" pid="3" name="KSOProductBuildVer">
    <vt:lpwstr>2052-12.1.0.21171</vt:lpwstr>
  </property>
  <property fmtid="{D5CDD505-2E9C-101B-9397-08002B2CF9AE}" pid="4" name="ICV">
    <vt:lpwstr>F16FD75B5B114C79A98AECA4311A6CDE_12</vt:lpwstr>
  </property>
</Properties>
</file>