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CFDB3">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北京市重点站区管理委员会202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w:t>
      </w:r>
    </w:p>
    <w:p w14:paraId="62DF0AEA">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14:paraId="3F3AE12B">
      <w:pPr>
        <w:keepNext w:val="0"/>
        <w:keepLines w:val="0"/>
        <w:pageBreakBefore w:val="0"/>
        <w:kinsoku/>
        <w:wordWrap/>
        <w:overflowPunct/>
        <w:topLinePunct w:val="0"/>
        <w:autoSpaceDE/>
        <w:autoSpaceDN/>
        <w:bidi w:val="0"/>
        <w:spacing w:line="560" w:lineRule="exact"/>
        <w:textAlignment w:val="auto"/>
      </w:pPr>
    </w:p>
    <w:p w14:paraId="01C33462">
      <w:pPr>
        <w:keepNext w:val="0"/>
        <w:keepLines w:val="0"/>
        <w:pageBreakBefore w:val="0"/>
        <w:kinsoku/>
        <w:wordWrap/>
        <w:overflowPunct/>
        <w:topLinePunct w:val="0"/>
        <w:autoSpaceDE/>
        <w:autoSpaceDN/>
        <w:bidi w:val="0"/>
        <w:spacing w:line="560" w:lineRule="exact"/>
        <w:textAlignment w:val="auto"/>
      </w:pPr>
      <w:r>
        <w:rPr>
          <w:rFonts w:hint="eastAsia" w:ascii="黑体" w:hAnsi="黑体" w:eastAsia="黑体" w:cs="黑体"/>
          <w:sz w:val="32"/>
          <w:szCs w:val="32"/>
        </w:rPr>
        <w:t>一、总体情况</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本年度报告根据《中华人民共和国政府信息公开条例》要求，汇总2024年度重点站区管委会（以下简称管委会）的政府信息公开年度报告编制而成。报告包括总体情况、主动公开政府信息情况、政府信息公开申请情况、政府信息公开行政复议和行政诉讼情况、</w:t>
      </w:r>
      <w:r>
        <w:rPr>
          <w:rFonts w:hint="eastAsia" w:ascii="仿宋_GB2312" w:hAnsi="仿宋_GB2312" w:eastAsia="仿宋_GB2312" w:cs="仿宋_GB2312"/>
          <w:sz w:val="32"/>
          <w:szCs w:val="32"/>
        </w:rPr>
        <w:t>存在的主要问题及改进情况</w:t>
      </w:r>
      <w:r>
        <w:rPr>
          <w:rFonts w:hint="eastAsia" w:ascii="仿宋_GB2312" w:hAnsi="仿宋_GB2312" w:eastAsia="仿宋_GB2312" w:cs="仿宋_GB2312"/>
          <w:sz w:val="32"/>
          <w:szCs w:val="32"/>
          <w:lang w:val="en-US" w:eastAsia="zh-CN"/>
        </w:rPr>
        <w:t>等6个部分。报告中所列数据的统计期限自2024年1月1日起至2024年12月31日止。</w:t>
      </w:r>
    </w:p>
    <w:p w14:paraId="674F2309">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加强</w:t>
      </w:r>
      <w:r>
        <w:rPr>
          <w:rFonts w:hint="eastAsia" w:ascii="楷体_GB2312" w:hAnsi="楷体_GB2312" w:eastAsia="楷体_GB2312" w:cs="楷体_GB2312"/>
          <w:sz w:val="32"/>
          <w:szCs w:val="32"/>
        </w:rPr>
        <w:t>组织领导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管委会党组高度重视政府信息公开工作，为确保政府信息公开工作的有序推进，成立了政府信息公开工作领导小组，形成了分管领导具体抓、各处室相互配合的工作机制。同时明确办公室负责推进、指导、协调、监督、考核管委会的政府信息公开工作。</w:t>
      </w:r>
    </w:p>
    <w:p w14:paraId="7C55C24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(二)关于主动公开情况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一是认真学习贯彻党的二十大和二十届二中、三中全会精神，认真贯彻落实市委部署要求，统筹发布重点站区“七站”优化提升、运力接驳保障、应急管理体系建设等重点工作信息，及时发布重点站区在重点时期(春运、两会、五一、暑运、国庆等)各项服务保障工作信息，包括召开党组会安排部署情况、工作推进情况等，全年门户网站共发布信息816篇。二是策划北京首都国际机场和北京大兴国际机场出租车和网约车服务、无障碍设施、交通换乘及导引标识方面、设施及环境等群众关心事项开展征集调查，不断完善提升站区服务保障水平。三是加大重点领域主动公开力度，主动及时公开部门预决算、年度绩效任务及进展情况等信息。主动及时公示行政处罚信息，按照有关工作要求，在管委会门户网站主动发布及修改调整公开信息137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(三)关于依申请公开情况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坚持就申请事项加强与申请人的事前沟通，精准了解申请人诉求，严格按照《政府信息公开条例》有关依申请公开办理流程和法定答复类型，做好政府信息依申请公开答复。完善依申请办理工作机制，及时满足公众信息需求。全年共收到政府信息公开申请2件，没有上年转接申请。</w:t>
      </w:r>
      <w:r>
        <w:rPr>
          <w:rFonts w:hint="eastAsia" w:ascii="仿宋_GB2312" w:hAnsi="仿宋_GB2312" w:eastAsia="仿宋_GB2312" w:cs="仿宋_GB2312"/>
          <w:sz w:val="32"/>
          <w:szCs w:val="32"/>
          <w:lang w:val="en-US" w:eastAsia="zh-CN"/>
        </w:rPr>
        <w:br w:type="textWrapping"/>
      </w:r>
      <w:r>
        <w:rPr>
          <w:rFonts w:hint="eastAsia" w:ascii="楷体_GB2312" w:hAnsi="楷体_GB2312" w:eastAsia="楷体_GB2312" w:cs="楷体_GB2312"/>
          <w:sz w:val="32"/>
          <w:szCs w:val="32"/>
        </w:rPr>
        <w:t>　　(四)关于政府信息管理情况</w:t>
      </w:r>
    </w:p>
    <w:p w14:paraId="165C9F9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持续推进完善政府信息公开制度机制，严格审核政务公开内容和项目，完善政府信息发布协调机制和信息公开保密审查制度，确保政府信息公开工作的规范运行。</w:t>
      </w:r>
    </w:p>
    <w:p w14:paraId="7CECCFE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(五)关于政府信息公开平台建设情况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一是充分利用管委会网站的互联网窗口作用，结合实际业务情况，加入北京首都国际机场和北京大兴国际机场交通接驳及导引信息等服务内容，方便市民浏览查阅。二是持续优化网站“搜索即服务”功能，实现搜索关键词，即可全方位展示相关信息，并加入“语音搜索”功能，丰富了网站检索关键词输入方式。三是在网站首页创建北京首都国际机场和北京大兴国际机场官网的快捷访问通道，进一步提升相关内容的访问便利性。四是提升网站在移动端的访问兼容性，增强在手机、平板电脑等设备的浏览体验。五是加强政务新媒体管理建设，持续加强内容自查，提高信息服务质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(六)关于政府信息公开监督保障及教育培训情况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严格落实《重点站区管委会信息管理办法》，进一步完善监督考核体系，</w:t>
      </w:r>
      <w:r>
        <w:rPr>
          <w:rFonts w:hint="eastAsia" w:ascii="仿宋_GB2312" w:hAnsi="仿宋_GB2312" w:eastAsia="仿宋_GB2312" w:cs="仿宋_GB2312"/>
          <w:sz w:val="32"/>
          <w:szCs w:val="32"/>
          <w:lang w:val="en-US" w:eastAsia="zh-CN"/>
        </w:rPr>
        <w:t>确保政府信息公开扎实、规范、高效开展，以实际行动做到让政府放心、让群众满意</w:t>
      </w:r>
      <w:r>
        <w:rPr>
          <w:rFonts w:hint="eastAsia" w:ascii="仿宋_GB2312" w:hAnsi="仿宋_GB2312" w:eastAsia="仿宋_GB2312" w:cs="仿宋_GB2312"/>
          <w:sz w:val="32"/>
          <w:szCs w:val="32"/>
        </w:rPr>
        <w:t>。</w:t>
      </w:r>
    </w:p>
    <w:p w14:paraId="5A9D5F4C">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4AE47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83517E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14:paraId="507F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394FC7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C4FA44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493E18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8AF5E2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现行有效件数</w:t>
            </w:r>
          </w:p>
        </w:tc>
      </w:tr>
      <w:tr w14:paraId="0078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C6B89A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368CAB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8358AC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B5019A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cs="Calibri"/>
                <w:kern w:val="0"/>
                <w:sz w:val="21"/>
                <w:szCs w:val="21"/>
                <w:lang w:val="en-US" w:eastAsia="zh-CN" w:bidi="ar"/>
              </w:rPr>
              <w:t>0</w:t>
            </w:r>
          </w:p>
        </w:tc>
      </w:tr>
      <w:tr w14:paraId="1AF4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66DE1D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8DC91A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44DA9C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C957E9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cs="Calibri"/>
                <w:kern w:val="0"/>
                <w:sz w:val="21"/>
                <w:szCs w:val="21"/>
                <w:lang w:val="en-US" w:eastAsia="zh-CN" w:bidi="ar"/>
              </w:rPr>
              <w:t>0</w:t>
            </w:r>
          </w:p>
        </w:tc>
      </w:tr>
      <w:tr w14:paraId="59FA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53444DF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第二十条第（五）项</w:t>
            </w:r>
          </w:p>
        </w:tc>
      </w:tr>
      <w:tr w14:paraId="1C8F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8B3731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6CCF6B4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本年处理决定数量</w:t>
            </w:r>
          </w:p>
        </w:tc>
      </w:tr>
      <w:tr w14:paraId="4A5E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611E78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13F623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cs="Calibri"/>
                <w:kern w:val="0"/>
                <w:sz w:val="21"/>
                <w:szCs w:val="21"/>
                <w:lang w:val="en-US" w:eastAsia="zh-CN" w:bidi="ar"/>
              </w:rPr>
              <w:t>0</w:t>
            </w:r>
          </w:p>
        </w:tc>
      </w:tr>
      <w:tr w14:paraId="51B1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A879F8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第二十条第（六）项</w:t>
            </w:r>
          </w:p>
        </w:tc>
      </w:tr>
      <w:tr w14:paraId="7EAB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2D789E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0E6E29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本年处理决定数量</w:t>
            </w:r>
          </w:p>
        </w:tc>
      </w:tr>
      <w:tr w14:paraId="6BAF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2462C6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12B03C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14:paraId="4D12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99E225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D8B49B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000000"/>
                <w:kern w:val="0"/>
                <w:sz w:val="20"/>
                <w:szCs w:val="20"/>
                <w:lang w:val="en-US" w:eastAsia="zh-CN" w:bidi="ar"/>
              </w:rPr>
              <w:t>　</w:t>
            </w:r>
          </w:p>
        </w:tc>
      </w:tr>
      <w:tr w14:paraId="108F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7356621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第二十条第（八）项</w:t>
            </w:r>
          </w:p>
        </w:tc>
      </w:tr>
      <w:tr w14:paraId="6BD9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C77EC4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183AA02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本年收费金额（单位：万元）</w:t>
            </w:r>
          </w:p>
        </w:tc>
      </w:tr>
      <w:tr w14:paraId="7CB4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1B7D61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68050147">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宋体" w:hAnsi="Times New Roman" w:eastAsia="宋体" w:cs="宋体"/>
                <w:sz w:val="24"/>
                <w:szCs w:val="24"/>
                <w:lang w:val="en-US" w:eastAsia="zh-CN"/>
              </w:rPr>
            </w:pPr>
            <w:r>
              <w:rPr>
                <w:rFonts w:hint="eastAsia" w:ascii="宋体" w:hAnsi="Times New Roman" w:cs="宋体"/>
                <w:sz w:val="24"/>
                <w:szCs w:val="24"/>
                <w:lang w:val="en-US" w:eastAsia="zh-CN"/>
              </w:rPr>
              <w:t>0</w:t>
            </w:r>
          </w:p>
        </w:tc>
      </w:tr>
    </w:tbl>
    <w:p w14:paraId="44724CA3">
      <w:pPr>
        <w:pStyle w:val="3"/>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sz w:val="32"/>
          <w:szCs w:val="32"/>
          <w:lang w:val="en-US" w:eastAsia="zh-CN"/>
        </w:rPr>
      </w:pPr>
    </w:p>
    <w:p w14:paraId="6436259A">
      <w:pPr>
        <w:pStyle w:val="3"/>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548219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55F2F63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01AC954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申请人情况</w:t>
            </w:r>
          </w:p>
        </w:tc>
      </w:tr>
      <w:tr w14:paraId="15193B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0DFF2887">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6F8901B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4A72206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noWrap w:val="0"/>
            <w:tcMar>
              <w:left w:w="57" w:type="dxa"/>
              <w:right w:w="57" w:type="dxa"/>
            </w:tcMar>
            <w:vAlign w:val="center"/>
          </w:tcPr>
          <w:p w14:paraId="13C9CC1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总计</w:t>
            </w:r>
          </w:p>
        </w:tc>
      </w:tr>
      <w:tr w14:paraId="441879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1A405790">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43B64E62">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2F014A6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商业</w:t>
            </w:r>
          </w:p>
          <w:p w14:paraId="18C5EAE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414BD73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科研</w:t>
            </w:r>
          </w:p>
          <w:p w14:paraId="595E65C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52C04E9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7E1B85C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C841AA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noWrap w:val="0"/>
            <w:tcMar>
              <w:left w:w="57" w:type="dxa"/>
              <w:right w:w="57" w:type="dxa"/>
            </w:tcMar>
            <w:vAlign w:val="center"/>
          </w:tcPr>
          <w:p w14:paraId="14D46346">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r>
      <w:tr w14:paraId="0BBF9F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3482F8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CD282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ABDB5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37E44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E1CE2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EF365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67F6C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165DDB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2</w:t>
            </w:r>
          </w:p>
        </w:tc>
      </w:tr>
      <w:tr w14:paraId="37A211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120D41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07AD3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D3765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C598A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24746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9DDB7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AAB29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62DBCE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2988B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FD618E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9B60E5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C7531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58056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98D6B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8B67B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E526D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239F2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37BC3B5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2</w:t>
            </w:r>
          </w:p>
        </w:tc>
      </w:tr>
      <w:tr w14:paraId="356352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4061A6D">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834CE1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A3E9F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E0FBC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430D1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F0B46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471B5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13477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2B1E32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3EA7C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F68FE32">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noWrap w:val="0"/>
            <w:tcMar>
              <w:left w:w="57" w:type="dxa"/>
              <w:right w:w="57" w:type="dxa"/>
            </w:tcMar>
            <w:vAlign w:val="center"/>
          </w:tcPr>
          <w:p w14:paraId="5089FCF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42BB3E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90190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6AF77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BB747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188DB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6B14E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38824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2B1BDC8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2DD21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D5F0F76">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5B891A04">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468F5E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4F172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4F46F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0EACA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2996F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AD194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F3690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8B09AC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2DE09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FE262B7">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7F17348F">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212A66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BCC81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82A58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92258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A7F4F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AA513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7693F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C82424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17490B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005F5AB">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7E0858E2">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506E88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BD047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6C760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30C34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3F2EB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D73CF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81BFB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E69CCB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ECCD3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FC4E5CA">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2D600AF8">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633988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CEB97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014C2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E3327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42A7B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D1EA9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F8772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2BCFE4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A9817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5006D33">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484AB768">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5E7239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A2480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33BA8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6A5FA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27407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9E0C5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D5F1D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780FBC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B8E1D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736F108">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03767187">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78802A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4030D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8610E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119C8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3BCEB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FCF5D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A7A2E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29EE7F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77EA5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49C7412">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621DF5B9">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9C9216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CE153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D0954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CE25C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E40FC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BA767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2D023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A472F0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04E91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2026FBC">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noWrap w:val="0"/>
            <w:tcMar>
              <w:left w:w="57" w:type="dxa"/>
              <w:right w:w="57" w:type="dxa"/>
            </w:tcMar>
            <w:vAlign w:val="center"/>
          </w:tcPr>
          <w:p w14:paraId="0B8BC3A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28624F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A90E9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FBF67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A312A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79C08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F0023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D2ADE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829A61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93577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AF8E947">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6EE298EB">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80E98C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E5018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1FE9B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AA439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E2F82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B368F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4C9CB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37BCD7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93589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740A109">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07E72B5D">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1C4373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7A27A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D6BB2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ACBE2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DE8ED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61835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8D673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312AEE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D3452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DE150E4">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restart"/>
            <w:tcBorders>
              <w:top w:val="nil"/>
              <w:left w:val="nil"/>
              <w:bottom w:val="inset" w:color="auto" w:sz="8" w:space="0"/>
              <w:right w:val="single" w:color="auto" w:sz="8" w:space="0"/>
            </w:tcBorders>
            <w:shd w:val="clear" w:color="auto" w:fill="DDEBF7"/>
            <w:noWrap w:val="0"/>
            <w:tcMar>
              <w:left w:w="57" w:type="dxa"/>
              <w:right w:w="57" w:type="dxa"/>
            </w:tcMar>
            <w:vAlign w:val="center"/>
          </w:tcPr>
          <w:p w14:paraId="47D7282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B8EDC4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26386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39268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199BB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E6D07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21528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EC452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5D378F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1202C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1EC21C6">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02B4A9DB">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701B81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E090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13508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0EE51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D0A8F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3188B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6002C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7FF016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B9C92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7BAB535">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27313A90">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5F903F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69EED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79BA9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01351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931CD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BAB85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E4BE0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FC7796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3EA0D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945E44F">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6CB74FE5">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610A69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6BD68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1B1C6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90DED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E2C1A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EF535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F83A0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8FA0F8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C2007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BCD619A">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nil"/>
              <w:left w:val="nil"/>
              <w:bottom w:val="inset" w:color="auto" w:sz="8" w:space="0"/>
              <w:right w:val="single" w:color="auto" w:sz="8" w:space="0"/>
            </w:tcBorders>
            <w:shd w:val="clear" w:color="auto" w:fill="DDEBF7"/>
            <w:noWrap w:val="0"/>
            <w:tcMar>
              <w:left w:w="57" w:type="dxa"/>
              <w:right w:w="57" w:type="dxa"/>
            </w:tcMar>
            <w:vAlign w:val="center"/>
          </w:tcPr>
          <w:p w14:paraId="19C63427">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inset" w:color="auto" w:sz="8" w:space="0"/>
              <w:right w:val="single" w:color="auto" w:sz="8" w:space="0"/>
            </w:tcBorders>
            <w:shd w:val="clear" w:color="auto" w:fill="DDEBF7"/>
            <w:noWrap w:val="0"/>
            <w:tcMar>
              <w:left w:w="57" w:type="dxa"/>
              <w:right w:w="57" w:type="dxa"/>
            </w:tcMar>
            <w:vAlign w:val="center"/>
          </w:tcPr>
          <w:p w14:paraId="604DC71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both"/>
              <w:textAlignment w:val="auto"/>
              <w:rPr>
                <w:lang w:val="en-US"/>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11E27A2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2C6B5F8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511010C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39451B9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1987079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inset" w:color="auto" w:sz="8" w:space="0"/>
              <w:right w:val="single" w:color="auto" w:sz="8" w:space="0"/>
            </w:tcBorders>
            <w:noWrap w:val="0"/>
            <w:tcMar>
              <w:left w:w="57" w:type="dxa"/>
              <w:right w:w="57" w:type="dxa"/>
            </w:tcMar>
            <w:vAlign w:val="center"/>
          </w:tcPr>
          <w:p w14:paraId="073DF34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inset" w:color="auto" w:sz="8" w:space="0"/>
              <w:right w:val="single" w:color="auto" w:sz="8" w:space="0"/>
            </w:tcBorders>
            <w:noWrap w:val="0"/>
            <w:tcMar>
              <w:left w:w="57" w:type="dxa"/>
              <w:right w:w="57" w:type="dxa"/>
            </w:tcMar>
            <w:vAlign w:val="top"/>
          </w:tcPr>
          <w:p w14:paraId="1784588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cs="Calibri"/>
                <w:kern w:val="0"/>
                <w:sz w:val="20"/>
                <w:szCs w:val="20"/>
                <w:lang w:val="en-US" w:eastAsia="zh-CN" w:bidi="ar"/>
              </w:rPr>
            </w:pPr>
          </w:p>
          <w:p w14:paraId="71666D3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cs="Calibri"/>
                <w:kern w:val="0"/>
                <w:sz w:val="20"/>
                <w:szCs w:val="20"/>
                <w:lang w:val="en-US" w:eastAsia="zh-CN" w:bidi="ar"/>
              </w:rPr>
            </w:pPr>
            <w:r>
              <w:rPr>
                <w:rFonts w:hint="eastAsia" w:cs="Calibri"/>
                <w:kern w:val="0"/>
                <w:sz w:val="20"/>
                <w:szCs w:val="20"/>
                <w:lang w:val="en-US" w:eastAsia="zh-CN" w:bidi="ar"/>
              </w:rPr>
              <w:t>0</w:t>
            </w:r>
          </w:p>
        </w:tc>
      </w:tr>
      <w:tr w14:paraId="73BF51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37E7B5B">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noWrap w:val="0"/>
            <w:tcMar>
              <w:left w:w="57" w:type="dxa"/>
              <w:right w:w="57" w:type="dxa"/>
            </w:tcMar>
            <w:vAlign w:val="center"/>
          </w:tcPr>
          <w:p w14:paraId="2757CE9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60C7214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both"/>
              <w:textAlignment w:val="auto"/>
              <w:rPr>
                <w:lang w:val="en-US"/>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D7DCC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31494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D41FC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355C6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34FE5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ACD90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B9894D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cs="Calibri"/>
                <w:kern w:val="0"/>
                <w:sz w:val="20"/>
                <w:szCs w:val="20"/>
                <w:lang w:val="en-US" w:eastAsia="zh-CN" w:bidi="ar"/>
              </w:rPr>
            </w:pPr>
            <w:r>
              <w:rPr>
                <w:rFonts w:hint="default" w:cs="Calibri"/>
                <w:kern w:val="0"/>
                <w:sz w:val="20"/>
                <w:szCs w:val="20"/>
                <w:lang w:val="en-US" w:eastAsia="zh-CN" w:bidi="ar"/>
              </w:rPr>
              <w:br w:type="textWrapping"/>
            </w:r>
            <w:r>
              <w:rPr>
                <w:rFonts w:hint="default" w:cs="Calibri"/>
                <w:kern w:val="0"/>
                <w:sz w:val="20"/>
                <w:szCs w:val="20"/>
                <w:lang w:val="en-US" w:eastAsia="zh-CN" w:bidi="ar"/>
              </w:rPr>
              <w:t> </w:t>
            </w:r>
            <w:r>
              <w:rPr>
                <w:rFonts w:hint="eastAsia" w:cs="Calibri"/>
                <w:kern w:val="0"/>
                <w:sz w:val="20"/>
                <w:szCs w:val="20"/>
                <w:lang w:val="en-US" w:eastAsia="zh-CN" w:bidi="ar"/>
              </w:rPr>
              <w:t>0</w:t>
            </w:r>
          </w:p>
        </w:tc>
      </w:tr>
      <w:tr w14:paraId="0CD4EB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3C21183">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noWrap w:val="0"/>
            <w:tcMar>
              <w:left w:w="57" w:type="dxa"/>
              <w:right w:w="57" w:type="dxa"/>
            </w:tcMar>
            <w:vAlign w:val="center"/>
          </w:tcPr>
          <w:p w14:paraId="5188DD84">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4EFA6F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both"/>
              <w:textAlignment w:val="auto"/>
              <w:rPr>
                <w:lang w:val="en-US"/>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96C8B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285F8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05E660">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768B8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6B2ED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7E9AC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86A257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cs="Calibri"/>
                <w:kern w:val="0"/>
                <w:sz w:val="20"/>
                <w:szCs w:val="20"/>
                <w:lang w:val="en-US" w:eastAsia="zh-CN" w:bidi="ar"/>
              </w:rPr>
            </w:pPr>
            <w:r>
              <w:rPr>
                <w:rFonts w:hint="default" w:cs="Calibri"/>
                <w:kern w:val="0"/>
                <w:sz w:val="20"/>
                <w:szCs w:val="20"/>
                <w:lang w:val="en-US" w:eastAsia="zh-CN" w:bidi="ar"/>
              </w:rPr>
              <w:br w:type="textWrapping"/>
            </w:r>
            <w:r>
              <w:rPr>
                <w:rFonts w:hint="default" w:cs="Calibri"/>
                <w:kern w:val="0"/>
                <w:sz w:val="20"/>
                <w:szCs w:val="20"/>
                <w:lang w:val="en-US" w:eastAsia="zh-CN" w:bidi="ar"/>
              </w:rPr>
              <w:t> </w:t>
            </w:r>
            <w:r>
              <w:rPr>
                <w:rFonts w:hint="eastAsia" w:cs="Calibri"/>
                <w:kern w:val="0"/>
                <w:sz w:val="20"/>
                <w:szCs w:val="20"/>
                <w:lang w:val="en-US" w:eastAsia="zh-CN" w:bidi="ar"/>
              </w:rPr>
              <w:t>0</w:t>
            </w:r>
          </w:p>
        </w:tc>
      </w:tr>
      <w:tr w14:paraId="77EF7D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3675C71">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noWrap w:val="0"/>
            <w:tcMar>
              <w:left w:w="57" w:type="dxa"/>
              <w:right w:w="57" w:type="dxa"/>
            </w:tcMar>
            <w:vAlign w:val="center"/>
          </w:tcPr>
          <w:p w14:paraId="3CB564A3">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DD9FC5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C571E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6357C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C03C8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4A7D2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4F9AF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2362B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5549D4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CAD93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C58EF3F">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460C59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1A4DD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C033E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E7C06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8DDDF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EEFFF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10213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21B98E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2</w:t>
            </w:r>
            <w:bookmarkStart w:id="0" w:name="_GoBack"/>
            <w:bookmarkEnd w:id="0"/>
          </w:p>
        </w:tc>
      </w:tr>
      <w:tr w14:paraId="2F3314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C4B53E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lang w:val="en-US"/>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noWrap w:val="0"/>
            <w:vAlign w:val="center"/>
          </w:tcPr>
          <w:p w14:paraId="41BCD1F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noWrap w:val="0"/>
            <w:vAlign w:val="center"/>
          </w:tcPr>
          <w:p w14:paraId="64E7947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noWrap w:val="0"/>
            <w:vAlign w:val="center"/>
          </w:tcPr>
          <w:p w14:paraId="1A8583F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noWrap w:val="0"/>
            <w:vAlign w:val="center"/>
          </w:tcPr>
          <w:p w14:paraId="4DA5538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noWrap w:val="0"/>
            <w:vAlign w:val="center"/>
          </w:tcPr>
          <w:p w14:paraId="4FC194F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noWrap w:val="0"/>
            <w:vAlign w:val="center"/>
          </w:tcPr>
          <w:p w14:paraId="1F74F2B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inset" w:color="auto" w:sz="6" w:space="0"/>
              <w:left w:val="nil"/>
              <w:bottom w:val="inset" w:color="auto" w:sz="6" w:space="0"/>
              <w:right w:val="inset" w:color="auto" w:sz="6" w:space="0"/>
            </w:tcBorders>
            <w:noWrap w:val="0"/>
            <w:vAlign w:val="top"/>
          </w:tcPr>
          <w:p w14:paraId="051196C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14:paraId="2BB3A80B">
      <w:pPr>
        <w:pStyle w:val="3"/>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5780A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08BF83C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6F4104A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行政诉讼</w:t>
            </w:r>
          </w:p>
        </w:tc>
      </w:tr>
      <w:tr w14:paraId="5456B3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5B951D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21F401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E68DEBD">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42AE58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AD8E352">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0F119FF5">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188792D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auto"/>
                <w:kern w:val="0"/>
                <w:sz w:val="20"/>
                <w:szCs w:val="20"/>
                <w:lang w:val="en-US" w:eastAsia="zh-CN" w:bidi="ar"/>
              </w:rPr>
              <w:t>复议后起诉</w:t>
            </w:r>
          </w:p>
        </w:tc>
      </w:tr>
      <w:tr w14:paraId="6F23D5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E6D4E97">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1DB87F7">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CB1D6F5">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2BF38F">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177D21">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893D3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2287A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DD370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F2848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1F92A3">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6EC20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74CF29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81A54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825EA34">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FCEBF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宋体" w:hAnsi="宋体" w:eastAsia="宋体" w:cs="宋体"/>
                <w:color w:val="000000"/>
                <w:kern w:val="0"/>
                <w:sz w:val="20"/>
                <w:szCs w:val="20"/>
                <w:lang w:val="en-US" w:eastAsia="zh-CN" w:bidi="ar"/>
              </w:rPr>
              <w:t>总计</w:t>
            </w:r>
          </w:p>
        </w:tc>
      </w:tr>
      <w:tr w14:paraId="08EA6E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57BF8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FB16D5E">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2ABBB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B575AA">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4721D6">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60712B">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8978A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79B95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8D0071">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7F53C89">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068357">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F59A5F">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E3B3CC">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E3FD38">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auto"/>
              <w:rPr>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0D1E09">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auto"/>
              <w:rPr>
                <w:rFonts w:hint="eastAsia" w:ascii="宋体" w:hAnsi="Times New Roman" w:eastAsia="宋体" w:cs="宋体"/>
                <w:sz w:val="24"/>
                <w:szCs w:val="24"/>
                <w:lang w:val="en-US" w:eastAsia="zh-CN"/>
              </w:rPr>
            </w:pPr>
            <w:r>
              <w:rPr>
                <w:rFonts w:hint="eastAsia" w:ascii="宋体" w:hAnsi="Times New Roman" w:cs="宋体"/>
                <w:sz w:val="24"/>
                <w:szCs w:val="24"/>
                <w:lang w:val="en-US" w:eastAsia="zh-CN"/>
              </w:rPr>
              <w:t>0</w:t>
            </w:r>
          </w:p>
        </w:tc>
      </w:tr>
    </w:tbl>
    <w:p w14:paraId="1C3277AB">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五、存在的主要问题及改进情况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一是服务能力</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需进一步提高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需提升信息发布质量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及时发布服务信息，</w:t>
      </w:r>
      <w:r>
        <w:rPr>
          <w:rFonts w:hint="eastAsia" w:ascii="仿宋_GB2312" w:hAnsi="仿宋_GB2312" w:eastAsia="仿宋_GB2312" w:cs="仿宋_GB2312"/>
          <w:sz w:val="32"/>
          <w:szCs w:val="32"/>
        </w:rPr>
        <w:t>为市民旅客出行提供有效</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与帮助。二是</w:t>
      </w:r>
      <w:r>
        <w:rPr>
          <w:rFonts w:hint="eastAsia" w:ascii="仿宋_GB2312" w:hAnsi="仿宋_GB2312" w:eastAsia="仿宋_GB2312" w:cs="仿宋_GB2312"/>
          <w:sz w:val="32"/>
          <w:szCs w:val="32"/>
          <w:lang w:val="en-US" w:eastAsia="zh-CN"/>
        </w:rPr>
        <w:t>网民互动还需进一步优化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不断丰富互动形式，</w:t>
      </w:r>
      <w:r>
        <w:rPr>
          <w:rFonts w:hint="eastAsia" w:ascii="仿宋_GB2312" w:hAnsi="仿宋_GB2312" w:eastAsia="仿宋_GB2312" w:cs="仿宋_GB2312"/>
          <w:sz w:val="32"/>
          <w:szCs w:val="32"/>
          <w:lang w:val="en-US" w:eastAsia="zh-CN"/>
        </w:rPr>
        <w:t>主动回应社会关切，消除公众疑虑。</w:t>
      </w:r>
    </w:p>
    <w:p w14:paraId="36EFED2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年，重点站区管委会</w:t>
      </w:r>
      <w:r>
        <w:rPr>
          <w:rFonts w:hint="eastAsia" w:ascii="仿宋_GB2312" w:hAnsi="仿宋_GB2312" w:eastAsia="仿宋_GB2312" w:cs="仿宋_GB2312"/>
          <w:sz w:val="32"/>
          <w:szCs w:val="32"/>
          <w:lang w:val="en-US" w:eastAsia="zh-CN"/>
        </w:rPr>
        <w:t>将坚持</w:t>
      </w:r>
      <w:r>
        <w:rPr>
          <w:rFonts w:hint="eastAsia" w:ascii="仿宋_GB2312" w:hAnsi="仿宋_GB2312" w:eastAsia="仿宋_GB2312" w:cs="仿宋_GB2312"/>
          <w:sz w:val="32"/>
          <w:szCs w:val="32"/>
        </w:rPr>
        <w:t>以习近平新时代中国特色社会主义思想为引领，</w:t>
      </w:r>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rPr>
        <w:t>市委、市政府决策部署，结合重点站区实际，</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质量，以公开促落实、强规范、提服务，全力打造进京最美第一印象。</w:t>
      </w:r>
    </w:p>
    <w:p w14:paraId="0D641E0D">
      <w:pPr>
        <w:pStyle w:val="3"/>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六、其他需要报告的事项</w:t>
      </w:r>
      <w:r>
        <w:rPr>
          <w:rFonts w:hint="eastAsia" w:ascii="仿宋_GB2312" w:hAnsi="仿宋_GB2312" w:eastAsia="仿宋_GB2312" w:cs="仿宋_GB2312"/>
          <w:sz w:val="32"/>
          <w:szCs w:val="32"/>
          <w:highlight w:val="yellow"/>
        </w:rPr>
        <w:br w:type="textWrapping"/>
      </w:r>
      <w:r>
        <w:rPr>
          <w:rFonts w:hint="eastAsia" w:ascii="仿宋_GB2312" w:hAnsi="仿宋_GB2312" w:eastAsia="仿宋_GB2312" w:cs="仿宋_GB2312"/>
          <w:sz w:val="32"/>
          <w:szCs w:val="32"/>
        </w:rPr>
        <w:t>　　发出收费通知的件数和总金额以及实际收取的总金额均为0。北京市重点站区管理委员会门户网站网址为https://zdzqgw.beijing.gov.cn/，如需了解更多政府信息，请登录查询。</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7FBEB"/>
    <w:multiLevelType w:val="singleLevel"/>
    <w:tmpl w:val="A0E7FB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MGEyYzE1ODYxY2Q3ZDc1NjRiZTM5MDNjNDEwNTQifQ=="/>
  </w:docVars>
  <w:rsids>
    <w:rsidRoot w:val="1C0042C0"/>
    <w:rsid w:val="001463B1"/>
    <w:rsid w:val="0035539D"/>
    <w:rsid w:val="00886238"/>
    <w:rsid w:val="0EE31DAC"/>
    <w:rsid w:val="1144365B"/>
    <w:rsid w:val="120C7010"/>
    <w:rsid w:val="14751278"/>
    <w:rsid w:val="15214A53"/>
    <w:rsid w:val="15CF148A"/>
    <w:rsid w:val="1C0042C0"/>
    <w:rsid w:val="1C304903"/>
    <w:rsid w:val="21CF7AB2"/>
    <w:rsid w:val="22D27006"/>
    <w:rsid w:val="23F15541"/>
    <w:rsid w:val="296E6501"/>
    <w:rsid w:val="30746505"/>
    <w:rsid w:val="33487B5F"/>
    <w:rsid w:val="39D25DD2"/>
    <w:rsid w:val="403D737E"/>
    <w:rsid w:val="4973137A"/>
    <w:rsid w:val="4BB33DCA"/>
    <w:rsid w:val="4DCB21EF"/>
    <w:rsid w:val="57164D42"/>
    <w:rsid w:val="674370B5"/>
    <w:rsid w:val="6C0A21A4"/>
    <w:rsid w:val="6F4048D1"/>
    <w:rsid w:val="73353575"/>
    <w:rsid w:val="752C7D86"/>
    <w:rsid w:val="75F276F8"/>
    <w:rsid w:val="7B1E7F2D"/>
    <w:rsid w:val="7F42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2391</Words>
  <Characters>2465</Characters>
  <Lines>12</Lines>
  <Paragraphs>3</Paragraphs>
  <TotalTime>9</TotalTime>
  <ScaleCrop>false</ScaleCrop>
  <LinksUpToDate>false</LinksUpToDate>
  <CharactersWithSpaces>2662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2024-01-09T01:55:00Z</dcterms:created>
  <dc:creator>Administrator</dc:creator>
  <cp:lastModifiedBy>陈陶</cp:lastModifiedBy>
  <cp:lastPrinted>2024-01-10T07:39:00Z</cp:lastPrinted>
  <dcterms:modified xsi:type="dcterms:W3CDTF">2025-01-09T09:51:13Z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5AA22546CF87472DBE22FC6E2F15A38C_13</vt:lpwstr>
  </property>
  <property fmtid="{D5CDD505-2E9C-101B-9397-08002B2CF9AE}" pid="4" name="KSOTemplateDocerSaveRecord">
    <vt:lpwstr>eyJoZGlkIjoiYWI1MGEyYzE1ODYxY2Q3ZDc1NjRiZTM5MDNjNDEwNTQiLCJ1c2VySWQiOiIxMjQ0NDQ3NTA3In0=</vt:lpwstr>
  </property>
</Properties>
</file>